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5122" w14:textId="09DB1DDE" w:rsidR="00E255BE" w:rsidRDefault="00521147" w:rsidP="00E255BE">
      <w:pPr>
        <w:pBdr>
          <w:bottom w:val="single" w:sz="6" w:space="1" w:color="auto"/>
        </w:pBdr>
        <w:spacing w:after="0" w:line="276" w:lineRule="auto"/>
        <w:rPr>
          <w:rFonts w:cs="Arial"/>
          <w:b/>
          <w:color w:val="000000" w:themeColor="text1"/>
          <w:sz w:val="28"/>
          <w:szCs w:val="28"/>
        </w:rPr>
      </w:pPr>
      <w:r w:rsidRPr="006924A3">
        <w:rPr>
          <w:b/>
          <w:noProof/>
          <w:lang w:eastAsia="en-GB"/>
        </w:rPr>
        <w:drawing>
          <wp:anchor distT="0" distB="0" distL="114300" distR="114300" simplePos="0" relativeHeight="251658240" behindDoc="1" locked="0" layoutInCell="1" allowOverlap="0" wp14:anchorId="38530809" wp14:editId="248D9B8B">
            <wp:simplePos x="0" y="0"/>
            <wp:positionH relativeFrom="margin">
              <wp:align>left</wp:align>
            </wp:positionH>
            <wp:positionV relativeFrom="topMargin">
              <wp:posOffset>440244</wp:posOffset>
            </wp:positionV>
            <wp:extent cx="1512000" cy="727200"/>
            <wp:effectExtent l="0" t="0" r="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r w:rsidR="00E255BE">
        <w:rPr>
          <w:rFonts w:cs="Arial"/>
          <w:b/>
          <w:color w:val="000000" w:themeColor="text1"/>
          <w:sz w:val="28"/>
          <w:szCs w:val="28"/>
        </w:rPr>
        <w:t xml:space="preserve"> </w:t>
      </w:r>
    </w:p>
    <w:p w14:paraId="25CB5680" w14:textId="3283EB00" w:rsidR="00E255BE" w:rsidRDefault="00E255BE" w:rsidP="00E255BE">
      <w:pPr>
        <w:pBdr>
          <w:bottom w:val="single" w:sz="6" w:space="1" w:color="auto"/>
        </w:pBdr>
        <w:spacing w:after="0" w:line="276" w:lineRule="auto"/>
        <w:rPr>
          <w:rFonts w:cs="Arial"/>
          <w:b/>
          <w:color w:val="000000" w:themeColor="text1"/>
        </w:rPr>
      </w:pPr>
    </w:p>
    <w:p w14:paraId="5F4FCC5D" w14:textId="0A46FA15" w:rsidR="00182E31" w:rsidRDefault="00E255BE" w:rsidP="00D966E3">
      <w:pPr>
        <w:pBdr>
          <w:bottom w:val="single" w:sz="6" w:space="1" w:color="auto"/>
        </w:pBdr>
        <w:spacing w:after="120" w:line="276" w:lineRule="auto"/>
        <w:rPr>
          <w:rFonts w:cs="Arial"/>
          <w:b/>
          <w:color w:val="000000" w:themeColor="text1"/>
        </w:rPr>
      </w:pPr>
      <w:r w:rsidRPr="00D14A47">
        <w:rPr>
          <w:rFonts w:cs="Arial"/>
          <w:b/>
          <w:color w:val="000000" w:themeColor="text1"/>
        </w:rPr>
        <w:t>Versus Arthritis</w:t>
      </w:r>
      <w:r>
        <w:rPr>
          <w:rFonts w:cs="Arial"/>
          <w:b/>
          <w:color w:val="000000" w:themeColor="text1"/>
        </w:rPr>
        <w:t>’</w:t>
      </w:r>
      <w:r w:rsidRPr="00D14A47">
        <w:rPr>
          <w:rFonts w:cs="Arial"/>
          <w:b/>
          <w:color w:val="000000" w:themeColor="text1"/>
        </w:rPr>
        <w:t xml:space="preserve"> </w:t>
      </w:r>
      <w:r w:rsidRPr="00FB5765">
        <w:rPr>
          <w:rFonts w:cs="Arial"/>
          <w:b/>
          <w:color w:val="000000" w:themeColor="text1"/>
        </w:rPr>
        <w:t>response to</w:t>
      </w:r>
      <w:r>
        <w:rPr>
          <w:rFonts w:cs="Arial"/>
          <w:b/>
          <w:color w:val="000000" w:themeColor="text1"/>
        </w:rPr>
        <w:t xml:space="preserve"> the Government consultation </w:t>
      </w:r>
      <w:r w:rsidR="004C04FC">
        <w:rPr>
          <w:rFonts w:cs="Arial"/>
          <w:b/>
          <w:color w:val="000000" w:themeColor="text1"/>
        </w:rPr>
        <w:t xml:space="preserve">on the </w:t>
      </w:r>
      <w:r w:rsidR="004C04FC" w:rsidRPr="004C04FC">
        <w:rPr>
          <w:rFonts w:cs="Arial"/>
          <w:b/>
          <w:color w:val="000000" w:themeColor="text1"/>
        </w:rPr>
        <w:t>Women's Health Strategy</w:t>
      </w:r>
    </w:p>
    <w:p w14:paraId="73CFD3B3" w14:textId="46C34685" w:rsidR="00192234" w:rsidRPr="00DF03E6" w:rsidRDefault="00182E31" w:rsidP="00DF03E6">
      <w:pPr>
        <w:pBdr>
          <w:bottom w:val="single" w:sz="6" w:space="1" w:color="auto"/>
        </w:pBdr>
        <w:spacing w:after="120" w:line="276" w:lineRule="auto"/>
        <w:rPr>
          <w:rFonts w:cs="Arial"/>
          <w:b/>
          <w:color w:val="000000" w:themeColor="text1"/>
          <w:sz w:val="22"/>
          <w:szCs w:val="20"/>
        </w:rPr>
      </w:pPr>
      <w:r w:rsidRPr="00D966E3">
        <w:rPr>
          <w:rFonts w:cs="Arial"/>
          <w:b/>
          <w:color w:val="000000" w:themeColor="text1"/>
          <w:sz w:val="22"/>
          <w:szCs w:val="20"/>
        </w:rPr>
        <w:t>June 2021</w:t>
      </w:r>
    </w:p>
    <w:p w14:paraId="76D62E6B" w14:textId="7436E160" w:rsidR="00D40FBE" w:rsidRPr="00867C1B" w:rsidRDefault="00D40FBE" w:rsidP="00A7731B">
      <w:pPr>
        <w:spacing w:after="60"/>
        <w:rPr>
          <w:rFonts w:cs="Arial"/>
          <w:b/>
          <w:bCs/>
          <w:color w:val="000000" w:themeColor="text1"/>
          <w:sz w:val="22"/>
          <w:szCs w:val="20"/>
        </w:rPr>
      </w:pPr>
      <w:r w:rsidRPr="00867C1B">
        <w:rPr>
          <w:b/>
          <w:bCs/>
          <w:sz w:val="22"/>
          <w:szCs w:val="20"/>
        </w:rPr>
        <w:t>Introduction</w:t>
      </w:r>
    </w:p>
    <w:p w14:paraId="65C80CF2" w14:textId="17022E3C" w:rsidR="00A80072" w:rsidRPr="00D966E3" w:rsidRDefault="00A80072" w:rsidP="00867C1B">
      <w:pPr>
        <w:pStyle w:val="ListParagraph"/>
        <w:numPr>
          <w:ilvl w:val="0"/>
          <w:numId w:val="15"/>
        </w:numPr>
        <w:spacing w:after="120"/>
        <w:contextualSpacing w:val="0"/>
        <w:rPr>
          <w:sz w:val="22"/>
          <w:szCs w:val="20"/>
        </w:rPr>
      </w:pPr>
      <w:r w:rsidRPr="001B25A8">
        <w:rPr>
          <w:sz w:val="22"/>
          <w:szCs w:val="20"/>
        </w:rPr>
        <w:t xml:space="preserve">Versus Arthritis welcomes the opportunity to provide input into the </w:t>
      </w:r>
      <w:r w:rsidR="00844BB0">
        <w:rPr>
          <w:sz w:val="22"/>
          <w:szCs w:val="20"/>
        </w:rPr>
        <w:t xml:space="preserve">Department of Health and Social Care’s </w:t>
      </w:r>
      <w:r w:rsidRPr="001B25A8">
        <w:rPr>
          <w:sz w:val="22"/>
          <w:szCs w:val="20"/>
        </w:rPr>
        <w:t>consultation</w:t>
      </w:r>
      <w:r w:rsidR="007D4B8B">
        <w:rPr>
          <w:sz w:val="22"/>
          <w:szCs w:val="20"/>
        </w:rPr>
        <w:t xml:space="preserve"> on the</w:t>
      </w:r>
      <w:r w:rsidRPr="001B25A8">
        <w:rPr>
          <w:sz w:val="22"/>
          <w:szCs w:val="20"/>
        </w:rPr>
        <w:t xml:space="preserve"> </w:t>
      </w:r>
      <w:r w:rsidR="002F3C64">
        <w:rPr>
          <w:sz w:val="22"/>
          <w:szCs w:val="20"/>
        </w:rPr>
        <w:t>G</w:t>
      </w:r>
      <w:r w:rsidR="00844BB0">
        <w:rPr>
          <w:sz w:val="22"/>
          <w:szCs w:val="20"/>
        </w:rPr>
        <w:t xml:space="preserve">overnment’s </w:t>
      </w:r>
      <w:r w:rsidR="0095742D">
        <w:rPr>
          <w:sz w:val="22"/>
          <w:szCs w:val="20"/>
        </w:rPr>
        <w:t xml:space="preserve">development of a new </w:t>
      </w:r>
      <w:r w:rsidR="00EB13E5">
        <w:rPr>
          <w:sz w:val="22"/>
          <w:szCs w:val="20"/>
        </w:rPr>
        <w:t>‘</w:t>
      </w:r>
      <w:r w:rsidR="001551C9" w:rsidRPr="001B25A8">
        <w:rPr>
          <w:sz w:val="22"/>
          <w:szCs w:val="20"/>
        </w:rPr>
        <w:t>Women's Health Strategy</w:t>
      </w:r>
      <w:r w:rsidR="00EB13E5">
        <w:rPr>
          <w:sz w:val="22"/>
          <w:szCs w:val="20"/>
        </w:rPr>
        <w:t>’</w:t>
      </w:r>
      <w:r w:rsidR="0095742D">
        <w:rPr>
          <w:sz w:val="22"/>
          <w:szCs w:val="20"/>
        </w:rPr>
        <w:t xml:space="preserve"> for England</w:t>
      </w:r>
      <w:r w:rsidRPr="001B25A8">
        <w:rPr>
          <w:sz w:val="22"/>
          <w:szCs w:val="20"/>
        </w:rPr>
        <w:t>.</w:t>
      </w:r>
      <w:bookmarkStart w:id="0" w:name="_Ref73957617"/>
      <w:r w:rsidRPr="001B25A8">
        <w:rPr>
          <w:rStyle w:val="EndnoteReference"/>
          <w:sz w:val="22"/>
          <w:szCs w:val="20"/>
        </w:rPr>
        <w:endnoteReference w:id="2"/>
      </w:r>
      <w:bookmarkEnd w:id="0"/>
    </w:p>
    <w:p w14:paraId="124274FB" w14:textId="40BE4D2F" w:rsidR="00A80072" w:rsidRPr="00D966E3" w:rsidRDefault="00A80072" w:rsidP="00867C1B">
      <w:pPr>
        <w:pStyle w:val="ListParagraph"/>
        <w:numPr>
          <w:ilvl w:val="0"/>
          <w:numId w:val="15"/>
        </w:numPr>
        <w:spacing w:after="120"/>
        <w:contextualSpacing w:val="0"/>
        <w:rPr>
          <w:sz w:val="22"/>
        </w:rPr>
      </w:pPr>
      <w:r w:rsidRPr="001B25A8">
        <w:rPr>
          <w:sz w:val="22"/>
        </w:rPr>
        <w:t>Versus Arthritis is the charity</w:t>
      </w:r>
      <w:r w:rsidR="58FC0DB1" w:rsidRPr="4435B7FB">
        <w:rPr>
          <w:sz w:val="22"/>
        </w:rPr>
        <w:t xml:space="preserve"> </w:t>
      </w:r>
      <w:r w:rsidRPr="001B25A8">
        <w:rPr>
          <w:sz w:val="22"/>
        </w:rPr>
        <w:t xml:space="preserve">formed </w:t>
      </w:r>
      <w:r w:rsidRPr="4A1A45D0">
        <w:rPr>
          <w:sz w:val="22"/>
        </w:rPr>
        <w:t>by</w:t>
      </w:r>
      <w:r w:rsidRPr="001B25A8">
        <w:rPr>
          <w:sz w:val="22"/>
        </w:rPr>
        <w:t xml:space="preserve"> Arthritis Research UK and Arthritis Care </w:t>
      </w:r>
      <w:r w:rsidRPr="4A1A45D0">
        <w:rPr>
          <w:sz w:val="22"/>
        </w:rPr>
        <w:t>joining together</w:t>
      </w:r>
      <w:r w:rsidRPr="001B25A8">
        <w:rPr>
          <w:sz w:val="22"/>
        </w:rPr>
        <w:t>.</w:t>
      </w:r>
      <w:r w:rsidRPr="001B25A8">
        <w:rPr>
          <w:rStyle w:val="EndnoteReference"/>
          <w:sz w:val="22"/>
        </w:rPr>
        <w:endnoteReference w:id="3"/>
      </w:r>
      <w:r w:rsidRPr="001B25A8">
        <w:rPr>
          <w:sz w:val="22"/>
        </w:rPr>
        <w:t xml:space="preserve"> We work alongside </w:t>
      </w:r>
      <w:r w:rsidRPr="4A1A45D0">
        <w:rPr>
          <w:sz w:val="22"/>
        </w:rPr>
        <w:t>volunteers</w:t>
      </w:r>
      <w:r w:rsidRPr="001B25A8">
        <w:rPr>
          <w:sz w:val="22"/>
        </w:rPr>
        <w:t>, healthcare professionals</w:t>
      </w:r>
      <w:r w:rsidRPr="4A1A45D0">
        <w:rPr>
          <w:sz w:val="22"/>
        </w:rPr>
        <w:t>,</w:t>
      </w:r>
      <w:r w:rsidRPr="001B25A8">
        <w:rPr>
          <w:sz w:val="22"/>
        </w:rPr>
        <w:t xml:space="preserve"> researchers</w:t>
      </w:r>
      <w:r w:rsidRPr="4A1A45D0">
        <w:rPr>
          <w:sz w:val="22"/>
        </w:rPr>
        <w:t xml:space="preserve">, and friends </w:t>
      </w:r>
      <w:r w:rsidRPr="001B25A8">
        <w:rPr>
          <w:sz w:val="22"/>
        </w:rPr>
        <w:t>to do everything we can to push back against arthritis. Together, we develop breakthrough treatments, campaign for arthritis to be a priority and provide support. Our remit covers all musculoskeletal conditions which affect the joints, bones and muscles including osteoarthritis, rheumatoid arthritis, back pain, and osteoporosis</w:t>
      </w:r>
      <w:r w:rsidR="008F665A" w:rsidRPr="4A1A45D0">
        <w:rPr>
          <w:sz w:val="22"/>
        </w:rPr>
        <w:t>.</w:t>
      </w:r>
    </w:p>
    <w:p w14:paraId="2CFBB285" w14:textId="57EA1916" w:rsidR="00F02B05" w:rsidRPr="009E3FF1" w:rsidRDefault="003461C3" w:rsidP="00867C1B">
      <w:pPr>
        <w:pStyle w:val="Title"/>
        <w:numPr>
          <w:ilvl w:val="0"/>
          <w:numId w:val="15"/>
        </w:numPr>
        <w:spacing w:after="120"/>
        <w:ind w:left="357" w:hanging="357"/>
        <w:contextualSpacing w:val="0"/>
        <w:rPr>
          <w:b w:val="0"/>
          <w:bCs/>
          <w:noProof w:val="0"/>
          <w:sz w:val="22"/>
          <w:szCs w:val="22"/>
        </w:rPr>
      </w:pPr>
      <w:r w:rsidRPr="001B25A8">
        <w:rPr>
          <w:b w:val="0"/>
          <w:bCs/>
          <w:noProof w:val="0"/>
          <w:sz w:val="22"/>
          <w:szCs w:val="22"/>
        </w:rPr>
        <w:t xml:space="preserve">Musculoskeletal conditions are </w:t>
      </w:r>
      <w:r w:rsidR="7EF54E95" w:rsidRPr="09CE4CAC">
        <w:rPr>
          <w:b w:val="0"/>
          <w:noProof w:val="0"/>
          <w:sz w:val="22"/>
          <w:szCs w:val="22"/>
        </w:rPr>
        <w:t xml:space="preserve">amongst </w:t>
      </w:r>
      <w:r w:rsidRPr="001B25A8">
        <w:rPr>
          <w:b w:val="0"/>
          <w:bCs/>
          <w:noProof w:val="0"/>
          <w:sz w:val="22"/>
          <w:szCs w:val="22"/>
        </w:rPr>
        <w:t>the most common long-term conditions in the UK</w:t>
      </w:r>
      <w:r w:rsidR="00A349C4" w:rsidRPr="001B25A8">
        <w:rPr>
          <w:b w:val="0"/>
          <w:bCs/>
          <w:noProof w:val="0"/>
          <w:sz w:val="22"/>
          <w:szCs w:val="22"/>
        </w:rPr>
        <w:t xml:space="preserve"> </w:t>
      </w:r>
      <w:r w:rsidRPr="001B25A8">
        <w:rPr>
          <w:b w:val="0"/>
          <w:bCs/>
          <w:noProof w:val="0"/>
          <w:sz w:val="22"/>
          <w:szCs w:val="22"/>
        </w:rPr>
        <w:t xml:space="preserve">and </w:t>
      </w:r>
      <w:r w:rsidRPr="009E3FF1">
        <w:rPr>
          <w:b w:val="0"/>
          <w:bCs/>
          <w:noProof w:val="0"/>
          <w:sz w:val="22"/>
          <w:szCs w:val="22"/>
        </w:rPr>
        <w:t xml:space="preserve">represent the leading cause of pain and disability </w:t>
      </w:r>
      <w:r w:rsidR="2230FC04" w:rsidRPr="009E3FF1">
        <w:rPr>
          <w:b w:val="0"/>
          <w:noProof w:val="0"/>
          <w:sz w:val="22"/>
          <w:szCs w:val="22"/>
        </w:rPr>
        <w:t>nationall</w:t>
      </w:r>
      <w:r w:rsidR="000B70E2" w:rsidRPr="009E3FF1">
        <w:rPr>
          <w:b w:val="0"/>
          <w:noProof w:val="0"/>
          <w:sz w:val="22"/>
          <w:szCs w:val="22"/>
        </w:rPr>
        <w:t>y</w:t>
      </w:r>
      <w:r w:rsidRPr="009E3FF1">
        <w:rPr>
          <w:b w:val="0"/>
          <w:bCs/>
          <w:noProof w:val="0"/>
          <w:sz w:val="22"/>
          <w:szCs w:val="22"/>
        </w:rPr>
        <w:t>.</w:t>
      </w:r>
      <w:bookmarkStart w:id="1" w:name="_Ref73957626"/>
      <w:r w:rsidR="0093635E" w:rsidRPr="009E3FF1">
        <w:rPr>
          <w:rStyle w:val="EndnoteReference"/>
          <w:b w:val="0"/>
          <w:bCs/>
          <w:noProof w:val="0"/>
          <w:sz w:val="22"/>
          <w:szCs w:val="22"/>
        </w:rPr>
        <w:endnoteReference w:id="4"/>
      </w:r>
      <w:bookmarkEnd w:id="1"/>
      <w:r w:rsidRPr="009E3FF1">
        <w:rPr>
          <w:b w:val="0"/>
          <w:bCs/>
          <w:noProof w:val="0"/>
          <w:sz w:val="22"/>
          <w:szCs w:val="22"/>
        </w:rPr>
        <w:t xml:space="preserve"> </w:t>
      </w:r>
      <w:r w:rsidR="00186E20" w:rsidRPr="009E3FF1">
        <w:rPr>
          <w:b w:val="0"/>
          <w:bCs/>
          <w:noProof w:val="0"/>
          <w:sz w:val="22"/>
          <w:szCs w:val="22"/>
        </w:rPr>
        <w:t xml:space="preserve">Musculoskeletal conditions also have a profound impact on an individual’s physical and mental health, as well as their wider social and emotional </w:t>
      </w:r>
      <w:r w:rsidR="00186E20" w:rsidRPr="007D030F">
        <w:rPr>
          <w:b w:val="0"/>
          <w:bCs/>
          <w:noProof w:val="0"/>
          <w:sz w:val="22"/>
          <w:szCs w:val="22"/>
        </w:rPr>
        <w:t>wellbeing.</w:t>
      </w:r>
      <w:r w:rsidR="007D030F" w:rsidRPr="007D030F">
        <w:rPr>
          <w:b w:val="0"/>
          <w:bCs/>
          <w:noProof w:val="0"/>
          <w:sz w:val="22"/>
          <w:szCs w:val="22"/>
        </w:rPr>
        <w:fldChar w:fldCharType="begin"/>
      </w:r>
      <w:r w:rsidR="007D030F" w:rsidRPr="007D030F">
        <w:rPr>
          <w:b w:val="0"/>
          <w:bCs/>
          <w:noProof w:val="0"/>
          <w:sz w:val="22"/>
          <w:szCs w:val="22"/>
        </w:rPr>
        <w:instrText xml:space="preserve"> NOTEREF _Ref73957626 \f \h </w:instrText>
      </w:r>
      <w:r w:rsidR="007D030F">
        <w:rPr>
          <w:b w:val="0"/>
          <w:bCs/>
          <w:noProof w:val="0"/>
          <w:sz w:val="22"/>
          <w:szCs w:val="22"/>
        </w:rPr>
        <w:instrText xml:space="preserve"> \* MERGEFORMAT </w:instrText>
      </w:r>
      <w:r w:rsidR="007D030F" w:rsidRPr="007D030F">
        <w:rPr>
          <w:b w:val="0"/>
          <w:bCs/>
          <w:noProof w:val="0"/>
          <w:sz w:val="22"/>
          <w:szCs w:val="22"/>
        </w:rPr>
      </w:r>
      <w:r w:rsidR="007D030F" w:rsidRPr="007D030F">
        <w:rPr>
          <w:b w:val="0"/>
          <w:bCs/>
          <w:noProof w:val="0"/>
          <w:sz w:val="22"/>
          <w:szCs w:val="22"/>
        </w:rPr>
        <w:fldChar w:fldCharType="separate"/>
      </w:r>
      <w:r w:rsidR="005D0525" w:rsidRPr="005D0525">
        <w:rPr>
          <w:rStyle w:val="EndnoteReference"/>
          <w:sz w:val="22"/>
          <w:szCs w:val="22"/>
        </w:rPr>
        <w:t>3</w:t>
      </w:r>
      <w:r w:rsidR="007D030F" w:rsidRPr="007D030F">
        <w:rPr>
          <w:b w:val="0"/>
          <w:bCs/>
          <w:noProof w:val="0"/>
          <w:sz w:val="22"/>
          <w:szCs w:val="22"/>
        </w:rPr>
        <w:fldChar w:fldCharType="end"/>
      </w:r>
    </w:p>
    <w:p w14:paraId="3D438341" w14:textId="647AEF16" w:rsidR="0036787C" w:rsidRPr="009E3FF1" w:rsidRDefault="00C470D4" w:rsidP="005C69CC">
      <w:pPr>
        <w:pStyle w:val="Title"/>
        <w:numPr>
          <w:ilvl w:val="0"/>
          <w:numId w:val="15"/>
        </w:numPr>
        <w:spacing w:after="120"/>
        <w:ind w:left="357" w:hanging="357"/>
        <w:contextualSpacing w:val="0"/>
        <w:rPr>
          <w:b w:val="0"/>
          <w:bCs/>
          <w:sz w:val="22"/>
          <w:szCs w:val="22"/>
        </w:rPr>
      </w:pPr>
      <w:r w:rsidRPr="009E3FF1">
        <w:rPr>
          <w:b w:val="0"/>
          <w:bCs/>
          <w:sz w:val="22"/>
          <w:szCs w:val="22"/>
        </w:rPr>
        <w:t xml:space="preserve">Chronic pain and </w:t>
      </w:r>
      <w:r w:rsidR="003461C3" w:rsidRPr="009E3FF1">
        <w:rPr>
          <w:b w:val="0"/>
          <w:bCs/>
          <w:sz w:val="22"/>
          <w:szCs w:val="22"/>
        </w:rPr>
        <w:t>musculoskeletal conditions</w:t>
      </w:r>
      <w:r w:rsidR="006A3210" w:rsidRPr="009E3FF1">
        <w:rPr>
          <w:b w:val="0"/>
          <w:sz w:val="22"/>
          <w:szCs w:val="22"/>
        </w:rPr>
        <w:t xml:space="preserve"> </w:t>
      </w:r>
      <w:r w:rsidR="006A3210" w:rsidRPr="009E3FF1">
        <w:rPr>
          <w:b w:val="0"/>
          <w:bCs/>
          <w:sz w:val="22"/>
          <w:szCs w:val="22"/>
        </w:rPr>
        <w:t xml:space="preserve">affect women </w:t>
      </w:r>
      <w:r w:rsidR="00CA2E8D">
        <w:rPr>
          <w:b w:val="0"/>
          <w:bCs/>
          <w:noProof w:val="0"/>
          <w:sz w:val="22"/>
          <w:szCs w:val="22"/>
        </w:rPr>
        <w:t xml:space="preserve">significantly </w:t>
      </w:r>
      <w:r w:rsidR="00B94795" w:rsidRPr="009E3FF1">
        <w:rPr>
          <w:b w:val="0"/>
          <w:bCs/>
          <w:noProof w:val="0"/>
          <w:sz w:val="22"/>
          <w:szCs w:val="22"/>
        </w:rPr>
        <w:t xml:space="preserve">more </w:t>
      </w:r>
      <w:r w:rsidR="197DC757" w:rsidRPr="009E3FF1">
        <w:rPr>
          <w:b w:val="0"/>
          <w:sz w:val="22"/>
          <w:szCs w:val="22"/>
        </w:rPr>
        <w:t>than men</w:t>
      </w:r>
      <w:r w:rsidR="00B94795" w:rsidRPr="009E3FF1">
        <w:rPr>
          <w:b w:val="0"/>
          <w:noProof w:val="0"/>
          <w:sz w:val="22"/>
          <w:szCs w:val="22"/>
        </w:rPr>
        <w:t xml:space="preserve">. The reasons for these health inequalities include some </w:t>
      </w:r>
      <w:r w:rsidR="003461C3" w:rsidRPr="009E3FF1">
        <w:rPr>
          <w:b w:val="0"/>
          <w:bCs/>
          <w:sz w:val="22"/>
          <w:szCs w:val="22"/>
        </w:rPr>
        <w:t>biological</w:t>
      </w:r>
      <w:r w:rsidR="00B94795" w:rsidRPr="009E3FF1">
        <w:rPr>
          <w:b w:val="0"/>
          <w:bCs/>
          <w:noProof w:val="0"/>
          <w:sz w:val="22"/>
          <w:szCs w:val="22"/>
        </w:rPr>
        <w:t xml:space="preserve"> factors</w:t>
      </w:r>
      <w:r w:rsidR="00966970" w:rsidRPr="009E3FF1">
        <w:rPr>
          <w:b w:val="0"/>
          <w:bCs/>
          <w:sz w:val="22"/>
          <w:szCs w:val="22"/>
        </w:rPr>
        <w:t>,</w:t>
      </w:r>
      <w:r w:rsidR="003461C3" w:rsidRPr="009E3FF1">
        <w:rPr>
          <w:b w:val="0"/>
          <w:bCs/>
          <w:sz w:val="22"/>
          <w:szCs w:val="22"/>
        </w:rPr>
        <w:t xml:space="preserve"> </w:t>
      </w:r>
      <w:r w:rsidR="00B94795" w:rsidRPr="009E3FF1">
        <w:rPr>
          <w:b w:val="0"/>
          <w:bCs/>
          <w:noProof w:val="0"/>
          <w:sz w:val="22"/>
          <w:szCs w:val="22"/>
        </w:rPr>
        <w:t xml:space="preserve">but also very significant </w:t>
      </w:r>
      <w:r w:rsidR="003461C3" w:rsidRPr="009E3FF1">
        <w:rPr>
          <w:b w:val="0"/>
          <w:bCs/>
          <w:sz w:val="22"/>
          <w:szCs w:val="22"/>
        </w:rPr>
        <w:t>environmental</w:t>
      </w:r>
      <w:r w:rsidR="008B0D37" w:rsidRPr="009E3FF1">
        <w:rPr>
          <w:b w:val="0"/>
          <w:bCs/>
          <w:sz w:val="22"/>
          <w:szCs w:val="22"/>
        </w:rPr>
        <w:t>,</w:t>
      </w:r>
      <w:r w:rsidR="00966970" w:rsidRPr="009E3FF1">
        <w:rPr>
          <w:b w:val="0"/>
          <w:bCs/>
          <w:sz w:val="22"/>
          <w:szCs w:val="22"/>
        </w:rPr>
        <w:t xml:space="preserve"> </w:t>
      </w:r>
      <w:r w:rsidR="00B94795" w:rsidRPr="009E3FF1">
        <w:rPr>
          <w:b w:val="0"/>
          <w:bCs/>
          <w:noProof w:val="0"/>
          <w:sz w:val="22"/>
          <w:szCs w:val="22"/>
        </w:rPr>
        <w:t>social</w:t>
      </w:r>
      <w:r w:rsidR="009E3FF1">
        <w:rPr>
          <w:b w:val="0"/>
          <w:bCs/>
          <w:noProof w:val="0"/>
          <w:sz w:val="22"/>
          <w:szCs w:val="22"/>
        </w:rPr>
        <w:t>,</w:t>
      </w:r>
      <w:r w:rsidR="00B94795" w:rsidRPr="009E3FF1">
        <w:rPr>
          <w:b w:val="0"/>
          <w:bCs/>
          <w:noProof w:val="0"/>
          <w:sz w:val="22"/>
          <w:szCs w:val="22"/>
        </w:rPr>
        <w:t xml:space="preserve"> and psyc</w:t>
      </w:r>
      <w:r w:rsidR="006B1DD7" w:rsidRPr="009E3FF1">
        <w:rPr>
          <w:b w:val="0"/>
          <w:bCs/>
          <w:noProof w:val="0"/>
          <w:sz w:val="22"/>
          <w:szCs w:val="22"/>
        </w:rPr>
        <w:t xml:space="preserve">hological factors </w:t>
      </w:r>
      <w:r w:rsidR="00151E3D">
        <w:rPr>
          <w:b w:val="0"/>
          <w:bCs/>
          <w:noProof w:val="0"/>
          <w:sz w:val="22"/>
          <w:szCs w:val="22"/>
        </w:rPr>
        <w:t>as well</w:t>
      </w:r>
      <w:r w:rsidR="006B1DD7" w:rsidRPr="009E3FF1">
        <w:rPr>
          <w:b w:val="0"/>
          <w:bCs/>
          <w:noProof w:val="0"/>
          <w:sz w:val="22"/>
          <w:szCs w:val="22"/>
        </w:rPr>
        <w:t xml:space="preserve">. </w:t>
      </w:r>
      <w:r w:rsidR="006B1DD7" w:rsidRPr="009E3FF1">
        <w:rPr>
          <w:b w:val="0"/>
          <w:noProof w:val="0"/>
          <w:sz w:val="22"/>
          <w:szCs w:val="22"/>
        </w:rPr>
        <w:t>T</w:t>
      </w:r>
      <w:r w:rsidR="60195CBB" w:rsidRPr="009E3FF1">
        <w:rPr>
          <w:b w:val="0"/>
          <w:sz w:val="22"/>
          <w:szCs w:val="22"/>
        </w:rPr>
        <w:t>h</w:t>
      </w:r>
      <w:r w:rsidR="006B1DD7" w:rsidRPr="009E3FF1">
        <w:rPr>
          <w:b w:val="0"/>
          <w:noProof w:val="0"/>
          <w:sz w:val="22"/>
          <w:szCs w:val="22"/>
        </w:rPr>
        <w:t xml:space="preserve">ese marked </w:t>
      </w:r>
      <w:r w:rsidR="005C69CC" w:rsidRPr="009E3FF1">
        <w:rPr>
          <w:b w:val="0"/>
          <w:noProof w:val="0"/>
          <w:sz w:val="22"/>
          <w:szCs w:val="22"/>
        </w:rPr>
        <w:t>health inequalities</w:t>
      </w:r>
      <w:r w:rsidR="60195CBB" w:rsidRPr="009E3FF1" w:rsidDel="006B1DD7">
        <w:rPr>
          <w:b w:val="0"/>
          <w:sz w:val="22"/>
          <w:szCs w:val="22"/>
        </w:rPr>
        <w:t xml:space="preserve"> </w:t>
      </w:r>
      <w:r w:rsidR="00BD41DD" w:rsidRPr="009E3FF1">
        <w:rPr>
          <w:b w:val="0"/>
          <w:bCs/>
          <w:sz w:val="22"/>
          <w:szCs w:val="22"/>
        </w:rPr>
        <w:t xml:space="preserve">should be </w:t>
      </w:r>
      <w:r w:rsidR="00CF4F39" w:rsidRPr="009E3FF1">
        <w:rPr>
          <w:b w:val="0"/>
          <w:bCs/>
          <w:sz w:val="22"/>
          <w:szCs w:val="22"/>
        </w:rPr>
        <w:t xml:space="preserve">a key consideration </w:t>
      </w:r>
      <w:r w:rsidR="03C037F8" w:rsidRPr="009E3FF1">
        <w:rPr>
          <w:b w:val="0"/>
          <w:sz w:val="22"/>
          <w:szCs w:val="22"/>
        </w:rPr>
        <w:t xml:space="preserve">in </w:t>
      </w:r>
      <w:r w:rsidR="00BD41DD" w:rsidRPr="009E3FF1">
        <w:rPr>
          <w:b w:val="0"/>
          <w:bCs/>
          <w:sz w:val="22"/>
          <w:szCs w:val="22"/>
        </w:rPr>
        <w:t>any strategy designed to improve health outcomes for women</w:t>
      </w:r>
      <w:r w:rsidR="00500827" w:rsidRPr="009E3FF1">
        <w:rPr>
          <w:b w:val="0"/>
          <w:bCs/>
          <w:sz w:val="22"/>
          <w:szCs w:val="22"/>
        </w:rPr>
        <w:t>, including</w:t>
      </w:r>
      <w:r w:rsidR="00EA79E3" w:rsidRPr="009E3FF1">
        <w:rPr>
          <w:b w:val="0"/>
          <w:bCs/>
          <w:sz w:val="22"/>
          <w:szCs w:val="22"/>
        </w:rPr>
        <w:t xml:space="preserve"> </w:t>
      </w:r>
      <w:r w:rsidR="00204DD9" w:rsidRPr="009E3FF1">
        <w:rPr>
          <w:b w:val="0"/>
          <w:bCs/>
          <w:sz w:val="22"/>
          <w:szCs w:val="22"/>
        </w:rPr>
        <w:t xml:space="preserve">through </w:t>
      </w:r>
      <w:r w:rsidR="00EA79E3" w:rsidRPr="009E3FF1">
        <w:rPr>
          <w:b w:val="0"/>
          <w:bCs/>
          <w:sz w:val="22"/>
          <w:szCs w:val="22"/>
        </w:rPr>
        <w:t xml:space="preserve">the provision of </w:t>
      </w:r>
      <w:r w:rsidR="001F2190" w:rsidRPr="009E3FF1">
        <w:rPr>
          <w:b w:val="0"/>
          <w:bCs/>
          <w:sz w:val="22"/>
          <w:szCs w:val="22"/>
        </w:rPr>
        <w:t xml:space="preserve">musculoskeletal </w:t>
      </w:r>
      <w:r w:rsidR="00673583" w:rsidRPr="009E3FF1">
        <w:rPr>
          <w:b w:val="0"/>
          <w:bCs/>
          <w:noProof w:val="0"/>
          <w:sz w:val="22"/>
          <w:szCs w:val="22"/>
        </w:rPr>
        <w:t xml:space="preserve">public health, </w:t>
      </w:r>
      <w:r w:rsidR="00577620" w:rsidRPr="009E3FF1">
        <w:rPr>
          <w:b w:val="0"/>
          <w:bCs/>
          <w:sz w:val="22"/>
          <w:szCs w:val="22"/>
        </w:rPr>
        <w:t>health</w:t>
      </w:r>
      <w:r w:rsidR="00151E3D">
        <w:rPr>
          <w:b w:val="0"/>
          <w:bCs/>
          <w:sz w:val="22"/>
          <w:szCs w:val="22"/>
        </w:rPr>
        <w:t>,</w:t>
      </w:r>
      <w:r w:rsidR="00577620" w:rsidRPr="009E3FF1">
        <w:rPr>
          <w:b w:val="0"/>
          <w:bCs/>
          <w:sz w:val="22"/>
          <w:szCs w:val="22"/>
        </w:rPr>
        <w:t xml:space="preserve"> and care </w:t>
      </w:r>
      <w:r w:rsidR="00EA79E3" w:rsidRPr="009E3FF1">
        <w:rPr>
          <w:b w:val="0"/>
          <w:bCs/>
          <w:sz w:val="22"/>
          <w:szCs w:val="22"/>
        </w:rPr>
        <w:t>services</w:t>
      </w:r>
      <w:r w:rsidR="00204DD9" w:rsidRPr="009E3FF1">
        <w:rPr>
          <w:b w:val="0"/>
          <w:bCs/>
          <w:sz w:val="22"/>
          <w:szCs w:val="22"/>
        </w:rPr>
        <w:t xml:space="preserve"> at </w:t>
      </w:r>
      <w:r w:rsidR="00151E3D">
        <w:rPr>
          <w:b w:val="0"/>
          <w:bCs/>
          <w:sz w:val="22"/>
          <w:szCs w:val="22"/>
        </w:rPr>
        <w:t xml:space="preserve">a </w:t>
      </w:r>
      <w:r w:rsidR="00204DD9" w:rsidRPr="009E3FF1">
        <w:rPr>
          <w:b w:val="0"/>
          <w:bCs/>
          <w:sz w:val="22"/>
          <w:szCs w:val="22"/>
        </w:rPr>
        <w:t>popula</w:t>
      </w:r>
      <w:r w:rsidR="00473D7A" w:rsidRPr="009E3FF1">
        <w:rPr>
          <w:b w:val="0"/>
          <w:bCs/>
          <w:sz w:val="22"/>
          <w:szCs w:val="22"/>
        </w:rPr>
        <w:t>tion</w:t>
      </w:r>
      <w:r w:rsidR="00204DD9" w:rsidRPr="009E3FF1">
        <w:rPr>
          <w:b w:val="0"/>
          <w:bCs/>
          <w:sz w:val="22"/>
          <w:szCs w:val="22"/>
        </w:rPr>
        <w:t xml:space="preserve"> level</w:t>
      </w:r>
      <w:r w:rsidR="00577620" w:rsidRPr="009E3FF1">
        <w:rPr>
          <w:b w:val="0"/>
          <w:bCs/>
          <w:sz w:val="22"/>
          <w:szCs w:val="22"/>
        </w:rPr>
        <w:t>,</w:t>
      </w:r>
      <w:r w:rsidR="00DE32C8" w:rsidRPr="009E3FF1">
        <w:rPr>
          <w:b w:val="0"/>
          <w:bCs/>
          <w:sz w:val="22"/>
          <w:szCs w:val="22"/>
        </w:rPr>
        <w:t xml:space="preserve"> to target existing </w:t>
      </w:r>
      <w:r w:rsidR="001F2190" w:rsidRPr="009E3FF1">
        <w:rPr>
          <w:b w:val="0"/>
          <w:bCs/>
          <w:sz w:val="22"/>
          <w:szCs w:val="22"/>
        </w:rPr>
        <w:t>gender</w:t>
      </w:r>
      <w:r w:rsidR="00577620" w:rsidRPr="009E3FF1">
        <w:rPr>
          <w:b w:val="0"/>
          <w:bCs/>
          <w:sz w:val="22"/>
          <w:szCs w:val="22"/>
        </w:rPr>
        <w:t>-based</w:t>
      </w:r>
      <w:r w:rsidR="001F2190" w:rsidRPr="009E3FF1">
        <w:rPr>
          <w:b w:val="0"/>
          <w:bCs/>
          <w:sz w:val="22"/>
          <w:szCs w:val="22"/>
        </w:rPr>
        <w:t xml:space="preserve"> </w:t>
      </w:r>
      <w:r w:rsidR="00DE32C8" w:rsidRPr="009E3FF1">
        <w:rPr>
          <w:b w:val="0"/>
          <w:bCs/>
          <w:sz w:val="22"/>
          <w:szCs w:val="22"/>
        </w:rPr>
        <w:t>health inequalities</w:t>
      </w:r>
      <w:r w:rsidR="0066577A" w:rsidRPr="009E3FF1">
        <w:rPr>
          <w:b w:val="0"/>
          <w:bCs/>
          <w:sz w:val="22"/>
          <w:szCs w:val="22"/>
        </w:rPr>
        <w:t xml:space="preserve">. </w:t>
      </w:r>
    </w:p>
    <w:p w14:paraId="07F608DB" w14:textId="52708470" w:rsidR="008E67FD" w:rsidRPr="008E67FD" w:rsidRDefault="003461C3" w:rsidP="00867C1B">
      <w:pPr>
        <w:pStyle w:val="Title"/>
        <w:numPr>
          <w:ilvl w:val="0"/>
          <w:numId w:val="15"/>
        </w:numPr>
        <w:spacing w:after="120"/>
        <w:ind w:left="357" w:hanging="357"/>
        <w:contextualSpacing w:val="0"/>
        <w:rPr>
          <w:b w:val="0"/>
          <w:bCs/>
          <w:noProof w:val="0"/>
          <w:sz w:val="22"/>
          <w:szCs w:val="22"/>
        </w:rPr>
      </w:pPr>
      <w:r w:rsidRPr="009E3FF1">
        <w:rPr>
          <w:b w:val="0"/>
          <w:bCs/>
          <w:noProof w:val="0"/>
          <w:sz w:val="22"/>
          <w:szCs w:val="22"/>
        </w:rPr>
        <w:t xml:space="preserve">The following </w:t>
      </w:r>
      <w:r w:rsidR="00A83F04" w:rsidRPr="009E3FF1">
        <w:rPr>
          <w:b w:val="0"/>
          <w:bCs/>
          <w:noProof w:val="0"/>
          <w:sz w:val="22"/>
          <w:szCs w:val="22"/>
        </w:rPr>
        <w:t xml:space="preserve">submission </w:t>
      </w:r>
      <w:r w:rsidRPr="009E3FF1">
        <w:rPr>
          <w:b w:val="0"/>
          <w:bCs/>
          <w:noProof w:val="0"/>
          <w:sz w:val="22"/>
          <w:szCs w:val="22"/>
        </w:rPr>
        <w:t>provides a summary of the available data on the prevalence and</w:t>
      </w:r>
      <w:r w:rsidR="0036787C">
        <w:rPr>
          <w:b w:val="0"/>
          <w:bCs/>
          <w:noProof w:val="0"/>
          <w:sz w:val="22"/>
          <w:szCs w:val="22"/>
        </w:rPr>
        <w:t xml:space="preserve"> </w:t>
      </w:r>
      <w:r w:rsidRPr="001B25A8">
        <w:rPr>
          <w:b w:val="0"/>
          <w:bCs/>
          <w:noProof w:val="0"/>
          <w:sz w:val="22"/>
          <w:szCs w:val="22"/>
        </w:rPr>
        <w:t xml:space="preserve">impact </w:t>
      </w:r>
      <w:r w:rsidR="006B2A55" w:rsidRPr="001B25A8">
        <w:rPr>
          <w:b w:val="0"/>
          <w:bCs/>
          <w:noProof w:val="0"/>
          <w:sz w:val="22"/>
          <w:szCs w:val="22"/>
        </w:rPr>
        <w:t xml:space="preserve">of </w:t>
      </w:r>
      <w:r w:rsidRPr="001B25A8">
        <w:rPr>
          <w:b w:val="0"/>
          <w:bCs/>
          <w:noProof w:val="0"/>
          <w:sz w:val="22"/>
          <w:szCs w:val="22"/>
        </w:rPr>
        <w:t>musculoskeletal conditions</w:t>
      </w:r>
      <w:r w:rsidR="2BFF1A50" w:rsidRPr="4CA277A5">
        <w:rPr>
          <w:b w:val="0"/>
          <w:noProof w:val="0"/>
          <w:sz w:val="22"/>
          <w:szCs w:val="22"/>
        </w:rPr>
        <w:t xml:space="preserve"> </w:t>
      </w:r>
      <w:r w:rsidR="00E84759">
        <w:rPr>
          <w:b w:val="0"/>
          <w:noProof w:val="0"/>
          <w:sz w:val="22"/>
          <w:szCs w:val="22"/>
        </w:rPr>
        <w:t>i</w:t>
      </w:r>
      <w:r w:rsidR="2BFF1A50" w:rsidRPr="4CA277A5">
        <w:rPr>
          <w:b w:val="0"/>
          <w:noProof w:val="0"/>
          <w:sz w:val="22"/>
          <w:szCs w:val="22"/>
        </w:rPr>
        <w:t xml:space="preserve">n </w:t>
      </w:r>
      <w:r w:rsidR="2BFF1A50" w:rsidRPr="058ACC43">
        <w:rPr>
          <w:b w:val="0"/>
          <w:noProof w:val="0"/>
          <w:sz w:val="22"/>
          <w:szCs w:val="22"/>
        </w:rPr>
        <w:t>women</w:t>
      </w:r>
      <w:r w:rsidR="2BFF1A50" w:rsidRPr="6AFA1C08">
        <w:rPr>
          <w:b w:val="0"/>
          <w:noProof w:val="0"/>
          <w:sz w:val="22"/>
          <w:szCs w:val="22"/>
        </w:rPr>
        <w:t xml:space="preserve"> in the UK</w:t>
      </w:r>
      <w:r w:rsidR="006A2B6D">
        <w:rPr>
          <w:b w:val="0"/>
          <w:bCs/>
          <w:noProof w:val="0"/>
          <w:sz w:val="22"/>
          <w:szCs w:val="22"/>
        </w:rPr>
        <w:t>,</w:t>
      </w:r>
      <w:r w:rsidRPr="001B25A8">
        <w:rPr>
          <w:b w:val="0"/>
          <w:bCs/>
          <w:noProof w:val="0"/>
          <w:sz w:val="22"/>
          <w:szCs w:val="22"/>
        </w:rPr>
        <w:t xml:space="preserve"> </w:t>
      </w:r>
      <w:r w:rsidR="18110210" w:rsidRPr="2045E149">
        <w:rPr>
          <w:b w:val="0"/>
          <w:noProof w:val="0"/>
          <w:sz w:val="22"/>
          <w:szCs w:val="22"/>
        </w:rPr>
        <w:t xml:space="preserve">including </w:t>
      </w:r>
      <w:r w:rsidR="00D05A5F">
        <w:rPr>
          <w:b w:val="0"/>
          <w:bCs/>
          <w:noProof w:val="0"/>
          <w:sz w:val="22"/>
          <w:szCs w:val="22"/>
        </w:rPr>
        <w:t xml:space="preserve">the </w:t>
      </w:r>
      <w:r w:rsidR="00C332F0">
        <w:rPr>
          <w:b w:val="0"/>
          <w:bCs/>
          <w:noProof w:val="0"/>
          <w:sz w:val="22"/>
          <w:szCs w:val="22"/>
        </w:rPr>
        <w:t xml:space="preserve">effects of living with </w:t>
      </w:r>
      <w:r w:rsidR="00C578F8">
        <w:rPr>
          <w:b w:val="0"/>
          <w:bCs/>
          <w:noProof w:val="0"/>
          <w:sz w:val="22"/>
          <w:szCs w:val="22"/>
        </w:rPr>
        <w:t xml:space="preserve">the </w:t>
      </w:r>
      <w:r w:rsidR="00575F0F">
        <w:rPr>
          <w:b w:val="0"/>
          <w:bCs/>
          <w:noProof w:val="0"/>
          <w:sz w:val="22"/>
          <w:szCs w:val="22"/>
        </w:rPr>
        <w:t>chronic pain</w:t>
      </w:r>
      <w:r w:rsidR="00C578F8">
        <w:rPr>
          <w:b w:val="0"/>
          <w:bCs/>
          <w:noProof w:val="0"/>
          <w:sz w:val="22"/>
          <w:szCs w:val="22"/>
        </w:rPr>
        <w:t xml:space="preserve"> often associated with these conditions</w:t>
      </w:r>
      <w:r w:rsidR="50FAE190" w:rsidRPr="17EF03D0">
        <w:rPr>
          <w:b w:val="0"/>
          <w:noProof w:val="0"/>
          <w:sz w:val="22"/>
          <w:szCs w:val="22"/>
        </w:rPr>
        <w:t>.</w:t>
      </w:r>
    </w:p>
    <w:p w14:paraId="186F3BB8" w14:textId="2D2D36CE" w:rsidR="00250964" w:rsidRPr="00DF03E6" w:rsidRDefault="00250964" w:rsidP="00867C1B">
      <w:pPr>
        <w:pStyle w:val="Title"/>
        <w:spacing w:after="120"/>
        <w:contextualSpacing w:val="0"/>
        <w:rPr>
          <w:b w:val="0"/>
          <w:bCs/>
          <w:noProof w:val="0"/>
          <w:sz w:val="22"/>
          <w:szCs w:val="22"/>
        </w:rPr>
      </w:pPr>
      <w:r w:rsidRPr="00BE2A03">
        <w:rPr>
          <w:sz w:val="22"/>
          <w:szCs w:val="22"/>
        </w:rPr>
        <w:t>Musculoskeletal conditions</w:t>
      </w:r>
      <w:r w:rsidR="00145BE6">
        <w:rPr>
          <w:sz w:val="22"/>
          <w:szCs w:val="22"/>
        </w:rPr>
        <w:t xml:space="preserve"> –</w:t>
      </w:r>
      <w:r w:rsidRPr="00BE2A03">
        <w:rPr>
          <w:sz w:val="22"/>
          <w:szCs w:val="22"/>
        </w:rPr>
        <w:t xml:space="preserve"> </w:t>
      </w:r>
      <w:r w:rsidR="00145BE6">
        <w:rPr>
          <w:sz w:val="22"/>
          <w:szCs w:val="22"/>
        </w:rPr>
        <w:t>R</w:t>
      </w:r>
      <w:r w:rsidR="00092795">
        <w:rPr>
          <w:sz w:val="22"/>
          <w:szCs w:val="22"/>
        </w:rPr>
        <w:t xml:space="preserve">elative </w:t>
      </w:r>
      <w:r w:rsidRPr="00BE2A03">
        <w:rPr>
          <w:sz w:val="22"/>
          <w:szCs w:val="22"/>
        </w:rPr>
        <w:t>prevalence</w:t>
      </w:r>
      <w:r w:rsidR="0C0FE7F2" w:rsidRPr="52B7F9AA">
        <w:rPr>
          <w:sz w:val="22"/>
          <w:szCs w:val="22"/>
        </w:rPr>
        <w:t xml:space="preserve"> in women and men</w:t>
      </w:r>
    </w:p>
    <w:p w14:paraId="5496874E" w14:textId="56A2BC5F" w:rsidR="00D966E3" w:rsidRPr="00D966E3" w:rsidRDefault="00400255" w:rsidP="00867C1B">
      <w:pPr>
        <w:pStyle w:val="ListParagraph"/>
        <w:numPr>
          <w:ilvl w:val="0"/>
          <w:numId w:val="15"/>
        </w:numPr>
        <w:spacing w:after="120"/>
        <w:ind w:left="357" w:hanging="357"/>
        <w:contextualSpacing w:val="0"/>
      </w:pPr>
      <w:r w:rsidRPr="000A4628">
        <w:rPr>
          <w:rFonts w:eastAsiaTheme="majorEastAsia"/>
          <w:bCs/>
          <w:sz w:val="22"/>
        </w:rPr>
        <w:t xml:space="preserve">Versus Arthritis’ report the State of Musculoskeletal Health 2019, </w:t>
      </w:r>
      <w:r w:rsidR="007E7B25" w:rsidRPr="04876210">
        <w:rPr>
          <w:rFonts w:eastAsiaTheme="majorEastAsia"/>
          <w:sz w:val="22"/>
        </w:rPr>
        <w:t>state</w:t>
      </w:r>
      <w:r w:rsidR="2A364338" w:rsidRPr="04876210">
        <w:rPr>
          <w:rFonts w:eastAsiaTheme="majorEastAsia"/>
          <w:sz w:val="22"/>
        </w:rPr>
        <w:t>d</w:t>
      </w:r>
      <w:r w:rsidR="007E7B25">
        <w:rPr>
          <w:rFonts w:eastAsiaTheme="majorEastAsia"/>
          <w:bCs/>
          <w:sz w:val="22"/>
        </w:rPr>
        <w:t xml:space="preserve"> </w:t>
      </w:r>
      <w:r w:rsidRPr="000A4628">
        <w:rPr>
          <w:rFonts w:eastAsiaTheme="majorEastAsia"/>
          <w:bCs/>
          <w:sz w:val="22"/>
        </w:rPr>
        <w:t>that musculoskeletal</w:t>
      </w:r>
      <w:r w:rsidRPr="000A4628">
        <w:rPr>
          <w:sz w:val="22"/>
        </w:rPr>
        <w:t xml:space="preserve"> conditions such as arthritis and back pain affected an estimated 18.8 million people across the UK in 2017, based on Global Burden of Disease </w:t>
      </w:r>
      <w:r w:rsidR="0019121C">
        <w:rPr>
          <w:sz w:val="22"/>
        </w:rPr>
        <w:t>d</w:t>
      </w:r>
      <w:r w:rsidRPr="000A4628">
        <w:rPr>
          <w:sz w:val="22"/>
        </w:rPr>
        <w:t>ata, accounting for more than 22% of the total burden of morbidity in the UK</w:t>
      </w:r>
      <w:r w:rsidR="009A2D3A" w:rsidRPr="00DF36A8">
        <w:rPr>
          <w:sz w:val="22"/>
        </w:rPr>
        <w:t>.</w:t>
      </w:r>
      <w:r w:rsidR="00DF36A8" w:rsidRPr="00DF36A8">
        <w:rPr>
          <w:sz w:val="22"/>
        </w:rPr>
        <w:fldChar w:fldCharType="begin"/>
      </w:r>
      <w:r w:rsidR="00DF36A8" w:rsidRPr="00DF36A8">
        <w:rPr>
          <w:sz w:val="22"/>
        </w:rPr>
        <w:instrText xml:space="preserve"> NOTEREF _Ref73957626 \f \h </w:instrText>
      </w:r>
      <w:r w:rsidR="00DF36A8">
        <w:rPr>
          <w:sz w:val="22"/>
        </w:rPr>
        <w:instrText xml:space="preserve"> \* MERGEFORMAT </w:instrText>
      </w:r>
      <w:r w:rsidR="00DF36A8" w:rsidRPr="00DF36A8">
        <w:rPr>
          <w:sz w:val="22"/>
        </w:rPr>
      </w:r>
      <w:r w:rsidR="00DF36A8" w:rsidRPr="00DF36A8">
        <w:rPr>
          <w:sz w:val="22"/>
        </w:rPr>
        <w:fldChar w:fldCharType="separate"/>
      </w:r>
      <w:r w:rsidR="005D0525" w:rsidRPr="005D0525">
        <w:rPr>
          <w:rStyle w:val="EndnoteReference"/>
          <w:sz w:val="22"/>
        </w:rPr>
        <w:t>3</w:t>
      </w:r>
      <w:r w:rsidR="00DF36A8" w:rsidRPr="00DF36A8">
        <w:rPr>
          <w:sz w:val="22"/>
        </w:rPr>
        <w:fldChar w:fldCharType="end"/>
      </w:r>
      <w:r w:rsidR="00DF36A8" w:rsidRPr="00D966E3">
        <w:t xml:space="preserve"> </w:t>
      </w:r>
    </w:p>
    <w:p w14:paraId="214EEBAE" w14:textId="5FED8538" w:rsidR="00BE2A03" w:rsidRPr="00156DFC" w:rsidRDefault="00A963F2" w:rsidP="00867C1B">
      <w:pPr>
        <w:pStyle w:val="ListParagraph"/>
        <w:numPr>
          <w:ilvl w:val="0"/>
          <w:numId w:val="15"/>
        </w:numPr>
        <w:spacing w:after="120"/>
        <w:ind w:left="357" w:hanging="357"/>
        <w:contextualSpacing w:val="0"/>
      </w:pPr>
      <w:r w:rsidRPr="00D966E3">
        <w:rPr>
          <w:sz w:val="22"/>
        </w:rPr>
        <w:t xml:space="preserve">More recent data </w:t>
      </w:r>
      <w:r w:rsidR="19DE6BBC" w:rsidRPr="00D966E3">
        <w:rPr>
          <w:sz w:val="22"/>
        </w:rPr>
        <w:t xml:space="preserve">from the Global Burden of Disease Study </w:t>
      </w:r>
      <w:r w:rsidR="0056389B" w:rsidRPr="00D966E3">
        <w:rPr>
          <w:sz w:val="22"/>
        </w:rPr>
        <w:t xml:space="preserve">suggests </w:t>
      </w:r>
      <w:r w:rsidR="00611AC0" w:rsidRPr="00D966E3">
        <w:rPr>
          <w:sz w:val="22"/>
        </w:rPr>
        <w:t xml:space="preserve">that </w:t>
      </w:r>
      <w:r w:rsidR="00250964" w:rsidRPr="00D966E3">
        <w:rPr>
          <w:sz w:val="22"/>
        </w:rPr>
        <w:t xml:space="preserve">20.3 million people </w:t>
      </w:r>
      <w:r w:rsidR="0019121C">
        <w:rPr>
          <w:sz w:val="22"/>
        </w:rPr>
        <w:t xml:space="preserve">now </w:t>
      </w:r>
      <w:r w:rsidR="00250964" w:rsidRPr="00D966E3">
        <w:rPr>
          <w:sz w:val="22"/>
        </w:rPr>
        <w:t>have a musculoskeletal condition in the UK</w:t>
      </w:r>
      <w:r w:rsidR="00575F0F">
        <w:rPr>
          <w:sz w:val="22"/>
        </w:rPr>
        <w:t>, which</w:t>
      </w:r>
      <w:r w:rsidR="00250964" w:rsidRPr="00D966E3">
        <w:rPr>
          <w:sz w:val="22"/>
        </w:rPr>
        <w:t xml:space="preserve"> equates to over three in ten people (32%).</w:t>
      </w:r>
      <w:bookmarkStart w:id="2" w:name="_Ref72487821"/>
      <w:r w:rsidR="00250964" w:rsidRPr="007D2FA4">
        <w:rPr>
          <w:rStyle w:val="EndnoteReference"/>
          <w:sz w:val="22"/>
        </w:rPr>
        <w:endnoteReference w:id="5"/>
      </w:r>
      <w:bookmarkEnd w:id="2"/>
    </w:p>
    <w:p w14:paraId="06A8CF08" w14:textId="534F0B13" w:rsidR="00156DFC" w:rsidRPr="00BE2A03" w:rsidRDefault="00156DFC" w:rsidP="00156DFC">
      <w:pPr>
        <w:pStyle w:val="ListParagraph"/>
        <w:numPr>
          <w:ilvl w:val="0"/>
          <w:numId w:val="15"/>
        </w:numPr>
        <w:spacing w:after="120"/>
        <w:ind w:left="357" w:hanging="357"/>
        <w:contextualSpacing w:val="0"/>
      </w:pPr>
      <w:r w:rsidRPr="00BE2A03">
        <w:rPr>
          <w:sz w:val="22"/>
        </w:rPr>
        <w:t xml:space="preserve">Women are more affected by </w:t>
      </w:r>
      <w:r>
        <w:rPr>
          <w:sz w:val="22"/>
        </w:rPr>
        <w:t>musculoskeletal</w:t>
      </w:r>
      <w:r w:rsidRPr="00BE2A03">
        <w:rPr>
          <w:sz w:val="22"/>
        </w:rPr>
        <w:t xml:space="preserve"> conditions than men. According to the</w:t>
      </w:r>
      <w:r>
        <w:rPr>
          <w:sz w:val="22"/>
        </w:rPr>
        <w:t xml:space="preserve"> most</w:t>
      </w:r>
      <w:r w:rsidRPr="535E7381">
        <w:rPr>
          <w:sz w:val="22"/>
        </w:rPr>
        <w:t xml:space="preserve"> </w:t>
      </w:r>
      <w:r w:rsidRPr="5F19A65E">
        <w:rPr>
          <w:sz w:val="22"/>
        </w:rPr>
        <w:t>recent</w:t>
      </w:r>
      <w:r w:rsidRPr="00BE2A03">
        <w:rPr>
          <w:sz w:val="22"/>
        </w:rPr>
        <w:t xml:space="preserve"> Global Burden of </w:t>
      </w:r>
      <w:r>
        <w:rPr>
          <w:sz w:val="22"/>
        </w:rPr>
        <w:t>D</w:t>
      </w:r>
      <w:r w:rsidRPr="00BE2A03">
        <w:rPr>
          <w:sz w:val="22"/>
        </w:rPr>
        <w:t>isease data</w:t>
      </w:r>
      <w:r w:rsidRPr="42926076">
        <w:rPr>
          <w:sz w:val="22"/>
        </w:rPr>
        <w:t xml:space="preserve"> cited above</w:t>
      </w:r>
      <w:r w:rsidRPr="00BE2A03">
        <w:rPr>
          <w:sz w:val="22"/>
        </w:rPr>
        <w:t>,</w:t>
      </w:r>
      <w:r>
        <w:rPr>
          <w:sz w:val="22"/>
        </w:rPr>
        <w:t xml:space="preserve"> in the UK</w:t>
      </w:r>
      <w:r w:rsidRPr="00BE2A03">
        <w:rPr>
          <w:sz w:val="22"/>
        </w:rPr>
        <w:t xml:space="preserve"> 11.6 million women have a musculoskeletal condition (35% of women) </w:t>
      </w:r>
      <w:r w:rsidRPr="7F8E7B4E">
        <w:rPr>
          <w:sz w:val="22"/>
        </w:rPr>
        <w:t xml:space="preserve">compared to </w:t>
      </w:r>
      <w:r w:rsidRPr="00BE2A03">
        <w:rPr>
          <w:sz w:val="22"/>
        </w:rPr>
        <w:t>8.7 million men (28% of men).</w:t>
      </w:r>
      <w:r w:rsidRPr="0072452A">
        <w:rPr>
          <w:sz w:val="22"/>
        </w:rPr>
        <w:fldChar w:fldCharType="begin"/>
      </w:r>
      <w:r w:rsidRPr="0072452A">
        <w:rPr>
          <w:sz w:val="22"/>
        </w:rPr>
        <w:instrText xml:space="preserve"> NOTEREF _Ref72487821 \f \h </w:instrText>
      </w:r>
      <w:r>
        <w:rPr>
          <w:sz w:val="22"/>
        </w:rPr>
        <w:instrText xml:space="preserve"> \* MERGEFORMAT </w:instrText>
      </w:r>
      <w:r w:rsidRPr="0072452A">
        <w:rPr>
          <w:sz w:val="22"/>
        </w:rPr>
      </w:r>
      <w:r w:rsidRPr="0072452A">
        <w:rPr>
          <w:sz w:val="22"/>
        </w:rPr>
        <w:fldChar w:fldCharType="separate"/>
      </w:r>
      <w:r w:rsidR="005D0525" w:rsidRPr="005D0525">
        <w:rPr>
          <w:rStyle w:val="EndnoteReference"/>
          <w:sz w:val="22"/>
        </w:rPr>
        <w:t>4</w:t>
      </w:r>
      <w:r w:rsidRPr="0072452A">
        <w:rPr>
          <w:sz w:val="22"/>
        </w:rPr>
        <w:fldChar w:fldCharType="end"/>
      </w:r>
      <w:r w:rsidRPr="0072452A">
        <w:rPr>
          <w:sz w:val="22"/>
        </w:rPr>
        <w:t xml:space="preserve"> </w:t>
      </w:r>
    </w:p>
    <w:p w14:paraId="151B29F2" w14:textId="77777777" w:rsidR="00156DFC" w:rsidRPr="00BE2A03" w:rsidRDefault="00156DFC" w:rsidP="00156DFC">
      <w:pPr>
        <w:pStyle w:val="ListParagraph"/>
        <w:numPr>
          <w:ilvl w:val="0"/>
          <w:numId w:val="15"/>
        </w:numPr>
        <w:spacing w:after="120"/>
        <w:ind w:left="357" w:hanging="357"/>
        <w:contextualSpacing w:val="0"/>
      </w:pPr>
      <w:r>
        <w:rPr>
          <w:sz w:val="22"/>
        </w:rPr>
        <w:t>English GP patient</w:t>
      </w:r>
      <w:r w:rsidRPr="00BE2A03">
        <w:rPr>
          <w:sz w:val="22"/>
        </w:rPr>
        <w:t xml:space="preserve"> survey data suggests a slightly lower figure of around 19% of people aged 16 and over in England have a musculoskeletal condition </w:t>
      </w:r>
      <w:r>
        <w:rPr>
          <w:sz w:val="22"/>
        </w:rPr>
        <w:t>t</w:t>
      </w:r>
      <w:r w:rsidRPr="00BE2A03">
        <w:rPr>
          <w:sz w:val="22"/>
        </w:rPr>
        <w:t>hat has lasted</w:t>
      </w:r>
      <w:r w:rsidRPr="52779547">
        <w:rPr>
          <w:sz w:val="22"/>
        </w:rPr>
        <w:t>,</w:t>
      </w:r>
      <w:r w:rsidRPr="00BE2A03">
        <w:rPr>
          <w:sz w:val="22"/>
        </w:rPr>
        <w:t xml:space="preserve"> or is expected to last</w:t>
      </w:r>
      <w:r w:rsidRPr="52779547">
        <w:rPr>
          <w:sz w:val="22"/>
        </w:rPr>
        <w:t>,</w:t>
      </w:r>
      <w:r w:rsidRPr="00BE2A03">
        <w:rPr>
          <w:sz w:val="22"/>
        </w:rPr>
        <w:t xml:space="preserve"> 12 months or more.</w:t>
      </w:r>
      <w:bookmarkStart w:id="5" w:name="_Ref72487907"/>
      <w:r w:rsidRPr="00B76903">
        <w:rPr>
          <w:rStyle w:val="EndnoteReference"/>
          <w:sz w:val="22"/>
        </w:rPr>
        <w:endnoteReference w:id="6"/>
      </w:r>
      <w:bookmarkEnd w:id="5"/>
      <w:r w:rsidRPr="00BE2A03">
        <w:rPr>
          <w:sz w:val="22"/>
        </w:rPr>
        <w:t xml:space="preserve"> </w:t>
      </w:r>
    </w:p>
    <w:p w14:paraId="022CAB00" w14:textId="405496B8" w:rsidR="00156DFC" w:rsidRPr="00F30C78" w:rsidRDefault="00156DFC" w:rsidP="00156DFC">
      <w:pPr>
        <w:pStyle w:val="ListParagraph"/>
        <w:numPr>
          <w:ilvl w:val="0"/>
          <w:numId w:val="15"/>
        </w:numPr>
        <w:spacing w:after="120"/>
        <w:ind w:left="357" w:hanging="357"/>
        <w:contextualSpacing w:val="0"/>
      </w:pPr>
      <w:r w:rsidRPr="00BE2A03">
        <w:rPr>
          <w:sz w:val="22"/>
        </w:rPr>
        <w:t xml:space="preserve">According to this data, women </w:t>
      </w:r>
      <w:r w:rsidRPr="75C9AB4E">
        <w:rPr>
          <w:sz w:val="22"/>
        </w:rPr>
        <w:t xml:space="preserve">again </w:t>
      </w:r>
      <w:r w:rsidRPr="5B1C6F1B">
        <w:rPr>
          <w:sz w:val="22"/>
        </w:rPr>
        <w:t xml:space="preserve">reported </w:t>
      </w:r>
      <w:r w:rsidRPr="6B56D993">
        <w:rPr>
          <w:sz w:val="22"/>
        </w:rPr>
        <w:t xml:space="preserve">having </w:t>
      </w:r>
      <w:r w:rsidRPr="00BE2A03">
        <w:rPr>
          <w:sz w:val="22"/>
        </w:rPr>
        <w:t xml:space="preserve">more long-lasting musculoskeletal </w:t>
      </w:r>
      <w:r w:rsidRPr="00206BC0">
        <w:rPr>
          <w:sz w:val="22"/>
        </w:rPr>
        <w:t>conditions than men (21% of women versus 16% of men).</w:t>
      </w:r>
      <w:r w:rsidRPr="00206BC0">
        <w:rPr>
          <w:sz w:val="22"/>
        </w:rPr>
        <w:fldChar w:fldCharType="begin"/>
      </w:r>
      <w:r w:rsidRPr="00206BC0">
        <w:rPr>
          <w:sz w:val="22"/>
        </w:rPr>
        <w:instrText xml:space="preserve"> NOTEREF _Ref72487907 \f \h  \* MERGEFORMAT </w:instrText>
      </w:r>
      <w:r w:rsidRPr="00206BC0">
        <w:rPr>
          <w:sz w:val="22"/>
        </w:rPr>
      </w:r>
      <w:r w:rsidRPr="00206BC0">
        <w:rPr>
          <w:sz w:val="22"/>
        </w:rPr>
        <w:fldChar w:fldCharType="separate"/>
      </w:r>
      <w:r w:rsidR="005D0525" w:rsidRPr="005D0525">
        <w:rPr>
          <w:rStyle w:val="EndnoteReference"/>
          <w:sz w:val="22"/>
        </w:rPr>
        <w:t>5</w:t>
      </w:r>
      <w:r w:rsidRPr="00206BC0">
        <w:rPr>
          <w:sz w:val="22"/>
        </w:rPr>
        <w:fldChar w:fldCharType="end"/>
      </w:r>
    </w:p>
    <w:p w14:paraId="6392D6CA" w14:textId="55B30804" w:rsidR="00517317" w:rsidRPr="002608AD" w:rsidRDefault="0015488D" w:rsidP="00D40E89">
      <w:pPr>
        <w:pStyle w:val="ListParagraph"/>
        <w:numPr>
          <w:ilvl w:val="0"/>
          <w:numId w:val="15"/>
        </w:numPr>
        <w:spacing w:after="120"/>
        <w:ind w:left="357" w:hanging="357"/>
        <w:contextualSpacing w:val="0"/>
        <w:rPr>
          <w:sz w:val="22"/>
        </w:rPr>
      </w:pPr>
      <w:r>
        <w:rPr>
          <w:sz w:val="22"/>
        </w:rPr>
        <w:lastRenderedPageBreak/>
        <w:t xml:space="preserve">The </w:t>
      </w:r>
      <w:r w:rsidR="005C1408">
        <w:rPr>
          <w:sz w:val="22"/>
        </w:rPr>
        <w:t xml:space="preserve">Health </w:t>
      </w:r>
      <w:r>
        <w:rPr>
          <w:sz w:val="22"/>
        </w:rPr>
        <w:t>S</w:t>
      </w:r>
      <w:r w:rsidR="005C1408">
        <w:rPr>
          <w:sz w:val="22"/>
        </w:rPr>
        <w:t xml:space="preserve">urvey for England 2017 </w:t>
      </w:r>
      <w:r w:rsidR="00156DFC">
        <w:rPr>
          <w:sz w:val="22"/>
        </w:rPr>
        <w:t xml:space="preserve">data also shows </w:t>
      </w:r>
      <w:r w:rsidR="005C1408">
        <w:rPr>
          <w:sz w:val="22"/>
        </w:rPr>
        <w:t xml:space="preserve">that </w:t>
      </w:r>
      <w:r w:rsidR="00517317" w:rsidRPr="00517317">
        <w:rPr>
          <w:sz w:val="22"/>
        </w:rPr>
        <w:t>chronic pain is more prevalent in women at every age.</w:t>
      </w:r>
      <w:bookmarkStart w:id="6" w:name="_Ref74319608"/>
      <w:r w:rsidR="00210EC8">
        <w:rPr>
          <w:rStyle w:val="EndnoteReference"/>
          <w:sz w:val="22"/>
        </w:rPr>
        <w:endnoteReference w:id="7"/>
      </w:r>
      <w:bookmarkEnd w:id="6"/>
      <w:r w:rsidR="00517317" w:rsidRPr="00517317">
        <w:rPr>
          <w:sz w:val="22"/>
        </w:rPr>
        <w:t xml:space="preserve"> </w:t>
      </w:r>
      <w:r w:rsidR="0064134F">
        <w:rPr>
          <w:sz w:val="22"/>
        </w:rPr>
        <w:t>A</w:t>
      </w:r>
      <w:r w:rsidR="00517317" w:rsidRPr="00517317">
        <w:rPr>
          <w:sz w:val="22"/>
        </w:rPr>
        <w:t xml:space="preserve">mong </w:t>
      </w:r>
      <w:r w:rsidR="00517317" w:rsidRPr="002608AD">
        <w:rPr>
          <w:sz w:val="22"/>
        </w:rPr>
        <w:t>people aged 35-44 years, 33% of women have chronic pain compared with 25% of men; among those aged over 75 years, chronic pain is reported by 57% of women, compared to 47% of men.</w:t>
      </w:r>
      <w:r w:rsidR="002608AD" w:rsidRPr="002608AD">
        <w:rPr>
          <w:sz w:val="22"/>
        </w:rPr>
        <w:fldChar w:fldCharType="begin"/>
      </w:r>
      <w:r w:rsidR="002608AD" w:rsidRPr="002608AD">
        <w:rPr>
          <w:sz w:val="22"/>
        </w:rPr>
        <w:instrText xml:space="preserve"> NOTEREF _Ref74319608 \f \h </w:instrText>
      </w:r>
      <w:r w:rsidR="002608AD">
        <w:rPr>
          <w:sz w:val="22"/>
        </w:rPr>
        <w:instrText xml:space="preserve"> \* MERGEFORMAT </w:instrText>
      </w:r>
      <w:r w:rsidR="002608AD" w:rsidRPr="002608AD">
        <w:rPr>
          <w:sz w:val="22"/>
        </w:rPr>
      </w:r>
      <w:r w:rsidR="002608AD" w:rsidRPr="002608AD">
        <w:rPr>
          <w:sz w:val="22"/>
        </w:rPr>
        <w:fldChar w:fldCharType="separate"/>
      </w:r>
      <w:r w:rsidR="005D0525" w:rsidRPr="005D0525">
        <w:rPr>
          <w:rStyle w:val="EndnoteReference"/>
          <w:sz w:val="22"/>
        </w:rPr>
        <w:t>6</w:t>
      </w:r>
      <w:r w:rsidR="002608AD" w:rsidRPr="002608AD">
        <w:rPr>
          <w:sz w:val="22"/>
        </w:rPr>
        <w:fldChar w:fldCharType="end"/>
      </w:r>
      <w:r w:rsidR="002608AD" w:rsidRPr="002608AD">
        <w:rPr>
          <w:sz w:val="22"/>
        </w:rPr>
        <w:t xml:space="preserve"> </w:t>
      </w:r>
    </w:p>
    <w:p w14:paraId="7EBDE072" w14:textId="5DD0AF0B" w:rsidR="00DC12DF" w:rsidRPr="002608AD" w:rsidRDefault="00DC12DF" w:rsidP="00F30C78">
      <w:pPr>
        <w:pStyle w:val="ListParagraph"/>
        <w:numPr>
          <w:ilvl w:val="0"/>
          <w:numId w:val="15"/>
        </w:numPr>
        <w:spacing w:after="120"/>
        <w:contextualSpacing w:val="0"/>
        <w:rPr>
          <w:sz w:val="22"/>
        </w:rPr>
      </w:pPr>
      <w:r w:rsidRPr="002608AD">
        <w:rPr>
          <w:sz w:val="22"/>
        </w:rPr>
        <w:t>Women are also much more likely than men to have high impact chronic pain, the most severe form which means a person struggles to take part in daily activities such as self-care, family, community</w:t>
      </w:r>
      <w:r w:rsidR="002C50D7" w:rsidRPr="002608AD">
        <w:rPr>
          <w:sz w:val="22"/>
        </w:rPr>
        <w:t>,</w:t>
      </w:r>
      <w:r w:rsidRPr="002608AD">
        <w:rPr>
          <w:sz w:val="22"/>
        </w:rPr>
        <w:t xml:space="preserve"> and work. In</w:t>
      </w:r>
      <w:r w:rsidR="006B004D">
        <w:rPr>
          <w:sz w:val="22"/>
        </w:rPr>
        <w:t xml:space="preserve"> the</w:t>
      </w:r>
      <w:r w:rsidRPr="002608AD">
        <w:rPr>
          <w:sz w:val="22"/>
        </w:rPr>
        <w:t xml:space="preserve"> H</w:t>
      </w:r>
      <w:r w:rsidR="00517317" w:rsidRPr="002608AD">
        <w:rPr>
          <w:sz w:val="22"/>
        </w:rPr>
        <w:t xml:space="preserve">ealth </w:t>
      </w:r>
      <w:r w:rsidR="0015488D" w:rsidRPr="002608AD">
        <w:rPr>
          <w:sz w:val="22"/>
        </w:rPr>
        <w:t>S</w:t>
      </w:r>
      <w:r w:rsidR="00517317" w:rsidRPr="002608AD">
        <w:rPr>
          <w:sz w:val="22"/>
        </w:rPr>
        <w:t>urvey for England 2017</w:t>
      </w:r>
      <w:r w:rsidRPr="002608AD">
        <w:rPr>
          <w:sz w:val="22"/>
        </w:rPr>
        <w:t xml:space="preserve">, high impact </w:t>
      </w:r>
      <w:r w:rsidR="00517317" w:rsidRPr="002608AD">
        <w:rPr>
          <w:sz w:val="22"/>
        </w:rPr>
        <w:t>chronic pain affected 14% of women, compared to 9% of men.</w:t>
      </w:r>
      <w:r w:rsidR="002608AD" w:rsidRPr="002608AD">
        <w:rPr>
          <w:sz w:val="22"/>
        </w:rPr>
        <w:fldChar w:fldCharType="begin"/>
      </w:r>
      <w:r w:rsidR="002608AD" w:rsidRPr="002608AD">
        <w:rPr>
          <w:sz w:val="22"/>
        </w:rPr>
        <w:instrText xml:space="preserve"> NOTEREF _Ref74319608 \f \h </w:instrText>
      </w:r>
      <w:r w:rsidR="002608AD">
        <w:rPr>
          <w:sz w:val="22"/>
        </w:rPr>
        <w:instrText xml:space="preserve"> \* MERGEFORMAT </w:instrText>
      </w:r>
      <w:r w:rsidR="002608AD" w:rsidRPr="002608AD">
        <w:rPr>
          <w:sz w:val="22"/>
        </w:rPr>
      </w:r>
      <w:r w:rsidR="002608AD" w:rsidRPr="002608AD">
        <w:rPr>
          <w:sz w:val="22"/>
        </w:rPr>
        <w:fldChar w:fldCharType="separate"/>
      </w:r>
      <w:r w:rsidR="005D0525" w:rsidRPr="005D0525">
        <w:rPr>
          <w:rStyle w:val="EndnoteReference"/>
          <w:sz w:val="22"/>
        </w:rPr>
        <w:t>6</w:t>
      </w:r>
      <w:r w:rsidR="002608AD" w:rsidRPr="002608AD">
        <w:rPr>
          <w:sz w:val="22"/>
        </w:rPr>
        <w:fldChar w:fldCharType="end"/>
      </w:r>
    </w:p>
    <w:p w14:paraId="337A87F0" w14:textId="64FDA362" w:rsidR="00DC12DF" w:rsidRPr="002608AD" w:rsidRDefault="00DC12DF" w:rsidP="00F30C78">
      <w:pPr>
        <w:pStyle w:val="ListParagraph"/>
        <w:numPr>
          <w:ilvl w:val="0"/>
          <w:numId w:val="15"/>
        </w:numPr>
        <w:spacing w:after="120"/>
        <w:contextualSpacing w:val="0"/>
        <w:rPr>
          <w:sz w:val="22"/>
        </w:rPr>
      </w:pPr>
      <w:r w:rsidRPr="002608AD">
        <w:rPr>
          <w:sz w:val="22"/>
        </w:rPr>
        <w:t>The differences between chronic pain in women and men are exacerbated by deprivation. Health Survey for England 2017 showed that women in the most deprived quintile were nearly twice as likely to have chronic pain (</w:t>
      </w:r>
      <w:r w:rsidR="00F30C78" w:rsidRPr="002608AD">
        <w:rPr>
          <w:sz w:val="22"/>
        </w:rPr>
        <w:t>45%) than men in the least deprived quintile (27%).</w:t>
      </w:r>
      <w:r w:rsidR="002608AD" w:rsidRPr="002608AD">
        <w:rPr>
          <w:sz w:val="22"/>
        </w:rPr>
        <w:fldChar w:fldCharType="begin"/>
      </w:r>
      <w:r w:rsidR="002608AD" w:rsidRPr="002608AD">
        <w:rPr>
          <w:sz w:val="22"/>
        </w:rPr>
        <w:instrText xml:space="preserve"> NOTEREF _Ref74319608 \f \h </w:instrText>
      </w:r>
      <w:r w:rsidR="002608AD">
        <w:rPr>
          <w:sz w:val="22"/>
        </w:rPr>
        <w:instrText xml:space="preserve"> \* MERGEFORMAT </w:instrText>
      </w:r>
      <w:r w:rsidR="002608AD" w:rsidRPr="002608AD">
        <w:rPr>
          <w:sz w:val="22"/>
        </w:rPr>
      </w:r>
      <w:r w:rsidR="002608AD" w:rsidRPr="002608AD">
        <w:rPr>
          <w:sz w:val="22"/>
        </w:rPr>
        <w:fldChar w:fldCharType="separate"/>
      </w:r>
      <w:r w:rsidR="005D0525" w:rsidRPr="005D0525">
        <w:rPr>
          <w:rStyle w:val="EndnoteReference"/>
          <w:sz w:val="22"/>
        </w:rPr>
        <w:t>6</w:t>
      </w:r>
      <w:r w:rsidR="002608AD" w:rsidRPr="002608AD">
        <w:rPr>
          <w:sz w:val="22"/>
        </w:rPr>
        <w:fldChar w:fldCharType="end"/>
      </w:r>
    </w:p>
    <w:p w14:paraId="605F62F2" w14:textId="0DB1C989" w:rsidR="00867C1B" w:rsidRPr="00206BC0" w:rsidRDefault="5B4D967C" w:rsidP="00867C1B">
      <w:pPr>
        <w:pStyle w:val="ListParagraph"/>
        <w:numPr>
          <w:ilvl w:val="0"/>
          <w:numId w:val="15"/>
        </w:numPr>
        <w:spacing w:after="120"/>
        <w:ind w:left="357" w:hanging="357"/>
        <w:contextualSpacing w:val="0"/>
      </w:pPr>
      <w:r w:rsidRPr="00206BC0">
        <w:rPr>
          <w:sz w:val="22"/>
        </w:rPr>
        <w:t>Therefore, w</w:t>
      </w:r>
      <w:r w:rsidR="692E6747" w:rsidRPr="00206BC0">
        <w:rPr>
          <w:sz w:val="22"/>
        </w:rPr>
        <w:t>hile</w:t>
      </w:r>
      <w:r w:rsidR="009D22CE" w:rsidRPr="00206BC0">
        <w:rPr>
          <w:sz w:val="22"/>
        </w:rPr>
        <w:t xml:space="preserve"> </w:t>
      </w:r>
      <w:r w:rsidR="00A17854" w:rsidRPr="00206BC0">
        <w:rPr>
          <w:sz w:val="22"/>
        </w:rPr>
        <w:t xml:space="preserve">estimates </w:t>
      </w:r>
      <w:r w:rsidR="770F8042" w:rsidRPr="00206BC0">
        <w:rPr>
          <w:sz w:val="22"/>
        </w:rPr>
        <w:t xml:space="preserve">may </w:t>
      </w:r>
      <w:r w:rsidR="00A17854" w:rsidRPr="00206BC0">
        <w:rPr>
          <w:sz w:val="22"/>
        </w:rPr>
        <w:t>vary</w:t>
      </w:r>
      <w:r w:rsidR="3DF071DA" w:rsidRPr="00206BC0">
        <w:rPr>
          <w:sz w:val="22"/>
        </w:rPr>
        <w:t>,</w:t>
      </w:r>
      <w:r w:rsidR="00A17854" w:rsidRPr="00206BC0">
        <w:rPr>
          <w:sz w:val="22"/>
        </w:rPr>
        <w:t xml:space="preserve"> depend</w:t>
      </w:r>
      <w:r w:rsidR="009D22CE" w:rsidRPr="00206BC0">
        <w:rPr>
          <w:sz w:val="22"/>
        </w:rPr>
        <w:t>ing</w:t>
      </w:r>
      <w:r w:rsidR="00A17854" w:rsidRPr="00206BC0">
        <w:rPr>
          <w:sz w:val="22"/>
        </w:rPr>
        <w:t xml:space="preserve"> on the scope of the conditions included in the definition</w:t>
      </w:r>
      <w:r w:rsidR="00203517" w:rsidRPr="00206BC0">
        <w:rPr>
          <w:sz w:val="22"/>
        </w:rPr>
        <w:t xml:space="preserve"> of musculoskeletal health</w:t>
      </w:r>
      <w:r w:rsidR="00EB7226">
        <w:rPr>
          <w:sz w:val="22"/>
        </w:rPr>
        <w:t xml:space="preserve"> and chronic pain, along with </w:t>
      </w:r>
      <w:r w:rsidR="1FD4DFF0" w:rsidRPr="00206BC0">
        <w:rPr>
          <w:sz w:val="22"/>
        </w:rPr>
        <w:t xml:space="preserve">the data sets </w:t>
      </w:r>
      <w:r w:rsidR="00EB7226">
        <w:rPr>
          <w:sz w:val="22"/>
        </w:rPr>
        <w:t xml:space="preserve">that are </w:t>
      </w:r>
      <w:r w:rsidR="1FD4DFF0" w:rsidRPr="00206BC0">
        <w:rPr>
          <w:sz w:val="22"/>
        </w:rPr>
        <w:t>used</w:t>
      </w:r>
      <w:r w:rsidR="00312760" w:rsidRPr="00206BC0">
        <w:rPr>
          <w:sz w:val="22"/>
        </w:rPr>
        <w:t xml:space="preserve">, the </w:t>
      </w:r>
      <w:r w:rsidR="00172600" w:rsidRPr="00206BC0">
        <w:rPr>
          <w:sz w:val="22"/>
        </w:rPr>
        <w:t xml:space="preserve">prevalence </w:t>
      </w:r>
      <w:r w:rsidR="0061024F" w:rsidRPr="00206BC0">
        <w:rPr>
          <w:sz w:val="22"/>
        </w:rPr>
        <w:t xml:space="preserve">of </w:t>
      </w:r>
      <w:r w:rsidR="00310376">
        <w:rPr>
          <w:sz w:val="22"/>
        </w:rPr>
        <w:t xml:space="preserve">both </w:t>
      </w:r>
      <w:r w:rsidR="0061024F" w:rsidRPr="00206BC0">
        <w:rPr>
          <w:sz w:val="22"/>
        </w:rPr>
        <w:t xml:space="preserve">musculoskeletal conditions </w:t>
      </w:r>
      <w:r w:rsidR="00EB7226">
        <w:rPr>
          <w:sz w:val="22"/>
        </w:rPr>
        <w:t xml:space="preserve">and chronic pain </w:t>
      </w:r>
      <w:r w:rsidR="00172600" w:rsidRPr="00206BC0">
        <w:rPr>
          <w:sz w:val="22"/>
        </w:rPr>
        <w:t>among</w:t>
      </w:r>
      <w:r w:rsidR="326D65BC" w:rsidRPr="00206BC0">
        <w:rPr>
          <w:sz w:val="22"/>
        </w:rPr>
        <w:t>st</w:t>
      </w:r>
      <w:r w:rsidR="00172600" w:rsidRPr="00206BC0">
        <w:rPr>
          <w:sz w:val="22"/>
        </w:rPr>
        <w:t xml:space="preserve"> women </w:t>
      </w:r>
      <w:r w:rsidR="0039505A" w:rsidRPr="00206BC0">
        <w:rPr>
          <w:sz w:val="22"/>
        </w:rPr>
        <w:t>is</w:t>
      </w:r>
      <w:r w:rsidR="0061024F" w:rsidRPr="00206BC0">
        <w:rPr>
          <w:sz w:val="22"/>
        </w:rPr>
        <w:t xml:space="preserve"> consistently </w:t>
      </w:r>
      <w:r w:rsidR="0039505A" w:rsidRPr="00206BC0">
        <w:rPr>
          <w:sz w:val="22"/>
        </w:rPr>
        <w:t xml:space="preserve">recorded as </w:t>
      </w:r>
      <w:r w:rsidR="7D0DC504" w:rsidRPr="00206BC0">
        <w:rPr>
          <w:sz w:val="22"/>
        </w:rPr>
        <w:t xml:space="preserve">being </w:t>
      </w:r>
      <w:r w:rsidR="0039505A" w:rsidRPr="00206BC0">
        <w:rPr>
          <w:sz w:val="22"/>
        </w:rPr>
        <w:t>higher</w:t>
      </w:r>
      <w:r w:rsidR="0061024F" w:rsidRPr="00206BC0">
        <w:rPr>
          <w:sz w:val="22"/>
        </w:rPr>
        <w:t xml:space="preserve"> than in men</w:t>
      </w:r>
      <w:r w:rsidR="00E36DA3" w:rsidRPr="00206BC0">
        <w:rPr>
          <w:sz w:val="22"/>
        </w:rPr>
        <w:t>.</w:t>
      </w:r>
    </w:p>
    <w:p w14:paraId="1DC81754" w14:textId="783351E1" w:rsidR="54771361" w:rsidRPr="00206BC0" w:rsidRDefault="54771361" w:rsidP="00867C1B">
      <w:pPr>
        <w:spacing w:after="120"/>
        <w:rPr>
          <w:b/>
          <w:bCs/>
        </w:rPr>
      </w:pPr>
      <w:r w:rsidRPr="00206BC0">
        <w:rPr>
          <w:rFonts w:eastAsia="Yu Mincho"/>
          <w:b/>
          <w:bCs/>
          <w:sz w:val="22"/>
        </w:rPr>
        <w:t xml:space="preserve">Reasons for the differences in </w:t>
      </w:r>
      <w:r w:rsidR="0B4CD19A" w:rsidRPr="00206BC0">
        <w:rPr>
          <w:rFonts w:eastAsia="Yu Mincho"/>
          <w:b/>
          <w:bCs/>
          <w:sz w:val="22"/>
        </w:rPr>
        <w:t>musculoskeletal</w:t>
      </w:r>
      <w:r w:rsidRPr="00206BC0">
        <w:rPr>
          <w:rFonts w:eastAsia="Yu Mincho"/>
          <w:b/>
          <w:bCs/>
          <w:sz w:val="22"/>
        </w:rPr>
        <w:t xml:space="preserve"> conditions between women and men </w:t>
      </w:r>
    </w:p>
    <w:p w14:paraId="768942E3" w14:textId="4A966129" w:rsidR="00FB18DA" w:rsidRDefault="005646E1" w:rsidP="00FB18DA">
      <w:pPr>
        <w:pStyle w:val="ListParagraph"/>
        <w:numPr>
          <w:ilvl w:val="0"/>
          <w:numId w:val="15"/>
        </w:numPr>
        <w:spacing w:after="120"/>
        <w:ind w:left="357" w:hanging="357"/>
        <w:contextualSpacing w:val="0"/>
        <w:rPr>
          <w:sz w:val="22"/>
        </w:rPr>
      </w:pPr>
      <w:r w:rsidRPr="00206BC0">
        <w:rPr>
          <w:sz w:val="22"/>
        </w:rPr>
        <w:t>Reported d</w:t>
      </w:r>
      <w:r w:rsidR="005F3E5D" w:rsidRPr="00206BC0">
        <w:rPr>
          <w:sz w:val="22"/>
        </w:rPr>
        <w:t>ifference</w:t>
      </w:r>
      <w:r w:rsidR="00D94D27" w:rsidRPr="00206BC0">
        <w:rPr>
          <w:sz w:val="22"/>
        </w:rPr>
        <w:t>s</w:t>
      </w:r>
      <w:r w:rsidR="005F3E5D" w:rsidRPr="00206BC0">
        <w:rPr>
          <w:sz w:val="22"/>
        </w:rPr>
        <w:t xml:space="preserve"> in </w:t>
      </w:r>
      <w:r w:rsidR="00D94D27" w:rsidRPr="00206BC0">
        <w:rPr>
          <w:sz w:val="22"/>
        </w:rPr>
        <w:t xml:space="preserve">the </w:t>
      </w:r>
      <w:r w:rsidR="005F3E5D" w:rsidRPr="00206BC0">
        <w:rPr>
          <w:sz w:val="22"/>
        </w:rPr>
        <w:t xml:space="preserve">prevalence of </w:t>
      </w:r>
      <w:r w:rsidR="00D94D27" w:rsidRPr="00206BC0">
        <w:rPr>
          <w:sz w:val="22"/>
        </w:rPr>
        <w:t>musculoskeletal</w:t>
      </w:r>
      <w:r w:rsidR="005F3E5D" w:rsidRPr="00206BC0">
        <w:rPr>
          <w:sz w:val="22"/>
        </w:rPr>
        <w:t xml:space="preserve"> conditions between men and women can be attributed to a number of </w:t>
      </w:r>
      <w:r w:rsidR="00D94D27" w:rsidRPr="00206BC0">
        <w:rPr>
          <w:sz w:val="22"/>
        </w:rPr>
        <w:t>causes</w:t>
      </w:r>
      <w:r w:rsidR="00931D41" w:rsidRPr="00206BC0">
        <w:rPr>
          <w:sz w:val="22"/>
        </w:rPr>
        <w:t xml:space="preserve">, and the overall prevalence gap is likely to </w:t>
      </w:r>
      <w:r w:rsidRPr="00206BC0">
        <w:rPr>
          <w:sz w:val="22"/>
        </w:rPr>
        <w:t xml:space="preserve">be </w:t>
      </w:r>
      <w:r w:rsidR="00631349" w:rsidRPr="00206BC0">
        <w:rPr>
          <w:sz w:val="22"/>
        </w:rPr>
        <w:t>multicausal</w:t>
      </w:r>
      <w:r w:rsidR="00B60E6C">
        <w:rPr>
          <w:sz w:val="22"/>
        </w:rPr>
        <w:t>;</w:t>
      </w:r>
      <w:r w:rsidR="00631349" w:rsidRPr="00206BC0">
        <w:rPr>
          <w:sz w:val="22"/>
        </w:rPr>
        <w:t xml:space="preserve"> </w:t>
      </w:r>
      <w:r w:rsidR="00931D41" w:rsidRPr="00206BC0">
        <w:rPr>
          <w:sz w:val="22"/>
        </w:rPr>
        <w:t xml:space="preserve">involving interactions between </w:t>
      </w:r>
      <w:r w:rsidR="00631349" w:rsidRPr="00206BC0">
        <w:rPr>
          <w:sz w:val="22"/>
        </w:rPr>
        <w:t xml:space="preserve">many </w:t>
      </w:r>
      <w:r w:rsidR="00931D41" w:rsidRPr="00206BC0">
        <w:rPr>
          <w:sz w:val="22"/>
        </w:rPr>
        <w:t>biolog</w:t>
      </w:r>
      <w:r w:rsidR="00F52E35" w:rsidRPr="00206BC0">
        <w:rPr>
          <w:sz w:val="22"/>
        </w:rPr>
        <w:t>ical</w:t>
      </w:r>
      <w:r w:rsidR="00931D41" w:rsidRPr="00206BC0">
        <w:rPr>
          <w:sz w:val="22"/>
        </w:rPr>
        <w:t>, psycholog</w:t>
      </w:r>
      <w:r w:rsidR="00F52E35" w:rsidRPr="00206BC0">
        <w:rPr>
          <w:sz w:val="22"/>
        </w:rPr>
        <w:t>ical</w:t>
      </w:r>
      <w:r w:rsidR="00931D41" w:rsidRPr="00206BC0">
        <w:rPr>
          <w:sz w:val="22"/>
        </w:rPr>
        <w:t xml:space="preserve">, and </w:t>
      </w:r>
      <w:r w:rsidR="00752AD4" w:rsidRPr="00206BC0">
        <w:rPr>
          <w:sz w:val="22"/>
        </w:rPr>
        <w:t>social</w:t>
      </w:r>
      <w:r w:rsidR="00931D41" w:rsidRPr="00206BC0" w:rsidDel="00513F62">
        <w:rPr>
          <w:sz w:val="22"/>
        </w:rPr>
        <w:t xml:space="preserve"> </w:t>
      </w:r>
      <w:r w:rsidR="00931D41" w:rsidRPr="00206BC0">
        <w:rPr>
          <w:sz w:val="22"/>
        </w:rPr>
        <w:t>factors.</w:t>
      </w:r>
    </w:p>
    <w:p w14:paraId="68903502" w14:textId="762CE533" w:rsidR="00DF476A" w:rsidRDefault="00110C04" w:rsidP="00FB18DA">
      <w:pPr>
        <w:pStyle w:val="ListParagraph"/>
        <w:numPr>
          <w:ilvl w:val="0"/>
          <w:numId w:val="15"/>
        </w:numPr>
        <w:spacing w:after="120"/>
        <w:ind w:left="357" w:hanging="357"/>
        <w:contextualSpacing w:val="0"/>
        <w:rPr>
          <w:sz w:val="22"/>
        </w:rPr>
      </w:pPr>
      <w:r>
        <w:rPr>
          <w:sz w:val="22"/>
        </w:rPr>
        <w:t xml:space="preserve">Biological factors </w:t>
      </w:r>
      <w:r w:rsidR="0081463D">
        <w:rPr>
          <w:sz w:val="22"/>
        </w:rPr>
        <w:t>such as</w:t>
      </w:r>
      <w:r>
        <w:rPr>
          <w:sz w:val="22"/>
        </w:rPr>
        <w:t xml:space="preserve"> hormon</w:t>
      </w:r>
      <w:r w:rsidR="0081463D">
        <w:rPr>
          <w:sz w:val="22"/>
        </w:rPr>
        <w:t>al changes</w:t>
      </w:r>
      <w:r w:rsidR="006130C0">
        <w:rPr>
          <w:sz w:val="22"/>
        </w:rPr>
        <w:t xml:space="preserve"> and </w:t>
      </w:r>
      <w:r w:rsidR="0081463D">
        <w:rPr>
          <w:sz w:val="22"/>
        </w:rPr>
        <w:t xml:space="preserve">differences in bone </w:t>
      </w:r>
      <w:r w:rsidR="00E877B4">
        <w:rPr>
          <w:sz w:val="22"/>
        </w:rPr>
        <w:t xml:space="preserve">structure and </w:t>
      </w:r>
      <w:r w:rsidR="0081463D">
        <w:rPr>
          <w:sz w:val="22"/>
        </w:rPr>
        <w:t>density</w:t>
      </w:r>
      <w:r w:rsidR="006130C0">
        <w:rPr>
          <w:sz w:val="22"/>
        </w:rPr>
        <w:t xml:space="preserve"> may partially account for </w:t>
      </w:r>
      <w:r w:rsidR="00A32171">
        <w:rPr>
          <w:sz w:val="22"/>
        </w:rPr>
        <w:t>women’s elevated risk of developing certain musculoskeletal conditions</w:t>
      </w:r>
      <w:r w:rsidR="00CE6DF8">
        <w:rPr>
          <w:sz w:val="22"/>
        </w:rPr>
        <w:t>.</w:t>
      </w:r>
      <w:r w:rsidR="00CE6DF8">
        <w:rPr>
          <w:rStyle w:val="EndnoteReference"/>
          <w:sz w:val="22"/>
        </w:rPr>
        <w:endnoteReference w:id="8"/>
      </w:r>
      <w:r w:rsidR="00702884">
        <w:rPr>
          <w:sz w:val="22"/>
          <w:vertAlign w:val="superscript"/>
        </w:rPr>
        <w:t>,</w:t>
      </w:r>
      <w:r w:rsidR="00B60E6C">
        <w:rPr>
          <w:sz w:val="22"/>
          <w:vertAlign w:val="superscript"/>
        </w:rPr>
        <w:t xml:space="preserve"> </w:t>
      </w:r>
      <w:r w:rsidR="00B05F38">
        <w:rPr>
          <w:rStyle w:val="EndnoteReference"/>
          <w:sz w:val="22"/>
        </w:rPr>
        <w:endnoteReference w:id="9"/>
      </w:r>
      <w:r w:rsidR="00A32171">
        <w:rPr>
          <w:sz w:val="22"/>
        </w:rPr>
        <w:t xml:space="preserve"> </w:t>
      </w:r>
      <w:r w:rsidR="0081463D">
        <w:rPr>
          <w:sz w:val="22"/>
        </w:rPr>
        <w:t xml:space="preserve">  </w:t>
      </w:r>
      <w:r>
        <w:rPr>
          <w:sz w:val="22"/>
        </w:rPr>
        <w:t xml:space="preserve"> </w:t>
      </w:r>
    </w:p>
    <w:p w14:paraId="29953E21" w14:textId="75D7882E" w:rsidR="003B0A72" w:rsidRPr="00FB18DA" w:rsidRDefault="00FB18DA" w:rsidP="00FB18DA">
      <w:pPr>
        <w:pStyle w:val="ListParagraph"/>
        <w:numPr>
          <w:ilvl w:val="0"/>
          <w:numId w:val="15"/>
        </w:numPr>
        <w:spacing w:after="120"/>
        <w:ind w:left="357" w:hanging="357"/>
        <w:contextualSpacing w:val="0"/>
        <w:rPr>
          <w:sz w:val="22"/>
        </w:rPr>
      </w:pPr>
      <w:r w:rsidRPr="00FB18DA">
        <w:rPr>
          <w:sz w:val="22"/>
        </w:rPr>
        <w:t xml:space="preserve">It is also important to note more broadly that </w:t>
      </w:r>
      <w:r>
        <w:rPr>
          <w:sz w:val="22"/>
        </w:rPr>
        <w:t xml:space="preserve">some musculoskeletal conditions like </w:t>
      </w:r>
      <w:r w:rsidRPr="00FB18DA">
        <w:rPr>
          <w:sz w:val="22"/>
        </w:rPr>
        <w:t xml:space="preserve">rheumatoid arthritis </w:t>
      </w:r>
      <w:r>
        <w:rPr>
          <w:sz w:val="22"/>
        </w:rPr>
        <w:t xml:space="preserve">are </w:t>
      </w:r>
      <w:r w:rsidRPr="00FB18DA">
        <w:rPr>
          <w:sz w:val="22"/>
        </w:rPr>
        <w:t>autoimmune condition</w:t>
      </w:r>
      <w:r>
        <w:rPr>
          <w:sz w:val="22"/>
        </w:rPr>
        <w:t>s</w:t>
      </w:r>
      <w:r w:rsidRPr="00FB18DA">
        <w:rPr>
          <w:sz w:val="22"/>
        </w:rPr>
        <w:t>, which in general are known to be more common in women than men.</w:t>
      </w:r>
      <w:r w:rsidRPr="00856917">
        <w:rPr>
          <w:rStyle w:val="EndnoteReference"/>
          <w:sz w:val="22"/>
        </w:rPr>
        <w:endnoteReference w:id="10"/>
      </w:r>
      <w:r w:rsidRPr="00FB18DA">
        <w:rPr>
          <w:sz w:val="22"/>
        </w:rPr>
        <w:t xml:space="preserve"> </w:t>
      </w:r>
    </w:p>
    <w:p w14:paraId="021E2777" w14:textId="4AB57E7D" w:rsidR="00E85BA3" w:rsidRPr="00206BC0" w:rsidRDefault="00301B6F" w:rsidP="003D7581">
      <w:pPr>
        <w:pStyle w:val="ListParagraph"/>
        <w:numPr>
          <w:ilvl w:val="0"/>
          <w:numId w:val="15"/>
        </w:numPr>
        <w:spacing w:after="120"/>
        <w:rPr>
          <w:sz w:val="22"/>
        </w:rPr>
      </w:pPr>
      <w:r w:rsidRPr="00206BC0">
        <w:rPr>
          <w:sz w:val="22"/>
        </w:rPr>
        <w:t>V</w:t>
      </w:r>
      <w:r w:rsidR="003B5F55" w:rsidRPr="00206BC0">
        <w:rPr>
          <w:sz w:val="22"/>
        </w:rPr>
        <w:t>arying e</w:t>
      </w:r>
      <w:r w:rsidR="00225526" w:rsidRPr="00206BC0">
        <w:rPr>
          <w:sz w:val="22"/>
        </w:rPr>
        <w:t xml:space="preserve">nvironmental and psychosocial factors </w:t>
      </w:r>
      <w:r w:rsidRPr="00206BC0">
        <w:rPr>
          <w:sz w:val="22"/>
        </w:rPr>
        <w:t>are</w:t>
      </w:r>
      <w:r w:rsidR="000E3599">
        <w:rPr>
          <w:sz w:val="22"/>
        </w:rPr>
        <w:t xml:space="preserve"> also</w:t>
      </w:r>
      <w:r w:rsidRPr="00206BC0">
        <w:rPr>
          <w:sz w:val="22"/>
        </w:rPr>
        <w:t xml:space="preserve"> likely to</w:t>
      </w:r>
      <w:r w:rsidR="00225526" w:rsidRPr="00206BC0">
        <w:rPr>
          <w:sz w:val="22"/>
        </w:rPr>
        <w:t xml:space="preserve"> contribute to the d</w:t>
      </w:r>
      <w:r w:rsidR="47E47FC9" w:rsidRPr="00206BC0">
        <w:rPr>
          <w:sz w:val="22"/>
        </w:rPr>
        <w:t xml:space="preserve">ifference </w:t>
      </w:r>
      <w:r w:rsidR="00C945AD" w:rsidRPr="00206BC0">
        <w:rPr>
          <w:sz w:val="22"/>
        </w:rPr>
        <w:t xml:space="preserve">in </w:t>
      </w:r>
      <w:r w:rsidR="33179B66" w:rsidRPr="00206BC0">
        <w:rPr>
          <w:sz w:val="22"/>
        </w:rPr>
        <w:t xml:space="preserve">the </w:t>
      </w:r>
      <w:r w:rsidR="00F11117" w:rsidRPr="00206BC0">
        <w:rPr>
          <w:sz w:val="22"/>
        </w:rPr>
        <w:t>prevalence</w:t>
      </w:r>
      <w:r w:rsidR="00EF3D8F" w:rsidRPr="00206BC0">
        <w:rPr>
          <w:sz w:val="22"/>
        </w:rPr>
        <w:t xml:space="preserve"> of </w:t>
      </w:r>
      <w:r w:rsidR="00034E82" w:rsidRPr="00206BC0">
        <w:rPr>
          <w:sz w:val="22"/>
        </w:rPr>
        <w:t xml:space="preserve">chronic pain and </w:t>
      </w:r>
      <w:r w:rsidR="00C945AD" w:rsidRPr="00206BC0">
        <w:rPr>
          <w:sz w:val="22"/>
        </w:rPr>
        <w:t xml:space="preserve">musculoskeletal conditions </w:t>
      </w:r>
      <w:r w:rsidR="78D2E2B5" w:rsidRPr="00206BC0">
        <w:rPr>
          <w:sz w:val="22"/>
        </w:rPr>
        <w:t>in</w:t>
      </w:r>
      <w:r w:rsidR="00EF3D8F" w:rsidRPr="00206BC0">
        <w:rPr>
          <w:sz w:val="22"/>
        </w:rPr>
        <w:t xml:space="preserve"> </w:t>
      </w:r>
      <w:r w:rsidR="003B5F55" w:rsidRPr="00206BC0">
        <w:rPr>
          <w:sz w:val="22"/>
        </w:rPr>
        <w:t>men and women</w:t>
      </w:r>
      <w:r w:rsidR="00EF3D8F" w:rsidRPr="00206BC0">
        <w:rPr>
          <w:sz w:val="22"/>
        </w:rPr>
        <w:t>:</w:t>
      </w:r>
      <w:r w:rsidR="00495FE7" w:rsidRPr="00206BC0">
        <w:rPr>
          <w:sz w:val="22"/>
        </w:rPr>
        <w:t xml:space="preserve"> </w:t>
      </w:r>
    </w:p>
    <w:p w14:paraId="305E1C1F" w14:textId="7166B4DA" w:rsidR="00B63B05" w:rsidRPr="00206BC0" w:rsidRDefault="00B63B05" w:rsidP="00B63B05">
      <w:pPr>
        <w:pStyle w:val="ListParagraph"/>
        <w:numPr>
          <w:ilvl w:val="1"/>
          <w:numId w:val="15"/>
        </w:numPr>
        <w:spacing w:after="120"/>
        <w:rPr>
          <w:sz w:val="22"/>
        </w:rPr>
      </w:pPr>
      <w:r w:rsidRPr="00206BC0">
        <w:rPr>
          <w:sz w:val="22"/>
        </w:rPr>
        <w:t>W</w:t>
      </w:r>
      <w:r w:rsidR="009906CE" w:rsidRPr="00206BC0">
        <w:rPr>
          <w:sz w:val="22"/>
        </w:rPr>
        <w:t xml:space="preserve">omen are more likely than </w:t>
      </w:r>
      <w:r w:rsidR="00D748BB" w:rsidRPr="00206BC0">
        <w:rPr>
          <w:sz w:val="22"/>
        </w:rPr>
        <w:t xml:space="preserve">men </w:t>
      </w:r>
      <w:r w:rsidR="009906CE" w:rsidRPr="00206BC0">
        <w:rPr>
          <w:sz w:val="22"/>
        </w:rPr>
        <w:t>to report experiencing poor mental health</w:t>
      </w:r>
      <w:r w:rsidR="0075386F" w:rsidRPr="00206BC0">
        <w:rPr>
          <w:rStyle w:val="EndnoteReference"/>
          <w:sz w:val="22"/>
        </w:rPr>
        <w:endnoteReference w:id="11"/>
      </w:r>
      <w:r w:rsidR="00D748BB" w:rsidRPr="00206BC0">
        <w:rPr>
          <w:sz w:val="22"/>
        </w:rPr>
        <w:t xml:space="preserve">, which </w:t>
      </w:r>
      <w:r w:rsidR="00495FE7" w:rsidRPr="00206BC0">
        <w:rPr>
          <w:sz w:val="22"/>
        </w:rPr>
        <w:t>in turn c</w:t>
      </w:r>
      <w:r w:rsidR="00680002" w:rsidRPr="00206BC0">
        <w:rPr>
          <w:sz w:val="22"/>
        </w:rPr>
        <w:t>an</w:t>
      </w:r>
      <w:r w:rsidR="00495FE7" w:rsidRPr="00206BC0">
        <w:rPr>
          <w:sz w:val="22"/>
        </w:rPr>
        <w:t xml:space="preserve"> increase their risk of developing </w:t>
      </w:r>
      <w:r w:rsidR="003D7581" w:rsidRPr="00206BC0">
        <w:rPr>
          <w:sz w:val="22"/>
        </w:rPr>
        <w:t xml:space="preserve">musculoskeletal </w:t>
      </w:r>
      <w:r w:rsidR="0031372E" w:rsidRPr="00206BC0">
        <w:rPr>
          <w:sz w:val="22"/>
        </w:rPr>
        <w:t>pain</w:t>
      </w:r>
      <w:r w:rsidR="00423979" w:rsidRPr="00206BC0">
        <w:rPr>
          <w:sz w:val="22"/>
        </w:rPr>
        <w:t xml:space="preserve">, as </w:t>
      </w:r>
      <w:r w:rsidR="00B8729E" w:rsidRPr="00206BC0">
        <w:rPr>
          <w:sz w:val="22"/>
        </w:rPr>
        <w:t>musculoskeletal</w:t>
      </w:r>
      <w:r w:rsidR="002D58D4" w:rsidRPr="00206BC0">
        <w:rPr>
          <w:sz w:val="22"/>
        </w:rPr>
        <w:t xml:space="preserve"> </w:t>
      </w:r>
      <w:r w:rsidR="00423979" w:rsidRPr="00206BC0">
        <w:rPr>
          <w:sz w:val="22"/>
        </w:rPr>
        <w:t>conditions</w:t>
      </w:r>
      <w:r w:rsidR="00217B86" w:rsidRPr="00206BC0">
        <w:rPr>
          <w:sz w:val="22"/>
        </w:rPr>
        <w:t xml:space="preserve"> </w:t>
      </w:r>
      <w:r w:rsidR="003D7581" w:rsidRPr="00206BC0">
        <w:rPr>
          <w:sz w:val="22"/>
        </w:rPr>
        <w:t>and mental health have a complex and reciprocal relationship</w:t>
      </w:r>
      <w:r w:rsidR="00D4137B">
        <w:rPr>
          <w:sz w:val="22"/>
        </w:rPr>
        <w:t>.</w:t>
      </w:r>
      <w:r w:rsidR="003C4BFF" w:rsidRPr="00206BC0">
        <w:rPr>
          <w:rStyle w:val="EndnoteReference"/>
          <w:sz w:val="22"/>
        </w:rPr>
        <w:endnoteReference w:id="12"/>
      </w:r>
      <w:r w:rsidR="0031372E" w:rsidRPr="00206BC0">
        <w:rPr>
          <w:sz w:val="22"/>
        </w:rPr>
        <w:t xml:space="preserve"> </w:t>
      </w:r>
    </w:p>
    <w:p w14:paraId="24DE664C" w14:textId="77777777" w:rsidR="00DE0BB8" w:rsidRDefault="00586DFF" w:rsidP="007B2E43">
      <w:pPr>
        <w:pStyle w:val="ListParagraph"/>
        <w:numPr>
          <w:ilvl w:val="1"/>
          <w:numId w:val="15"/>
        </w:numPr>
        <w:spacing w:after="120"/>
        <w:ind w:left="782" w:hanging="357"/>
        <w:contextualSpacing w:val="0"/>
        <w:rPr>
          <w:sz w:val="22"/>
        </w:rPr>
      </w:pPr>
      <w:r w:rsidRPr="00206BC0">
        <w:rPr>
          <w:sz w:val="22"/>
        </w:rPr>
        <w:t xml:space="preserve">Women are also more likely than men to live in persistent poverty </w:t>
      </w:r>
      <w:r w:rsidRPr="00206BC0">
        <w:rPr>
          <w:rStyle w:val="EndnoteReference"/>
          <w:sz w:val="22"/>
        </w:rPr>
        <w:endnoteReference w:id="13"/>
      </w:r>
      <w:r w:rsidRPr="00206BC0">
        <w:rPr>
          <w:sz w:val="22"/>
        </w:rPr>
        <w:t xml:space="preserve">, including in work poverty </w:t>
      </w:r>
      <w:r w:rsidRPr="00206BC0">
        <w:rPr>
          <w:rStyle w:val="EndnoteReference"/>
          <w:sz w:val="22"/>
        </w:rPr>
        <w:endnoteReference w:id="14"/>
      </w:r>
      <w:r w:rsidRPr="00206BC0">
        <w:rPr>
          <w:sz w:val="22"/>
        </w:rPr>
        <w:t>, which, in itself, can increase the risk of developing certain types of musculoskeletal conditions.</w:t>
      </w:r>
      <w:r w:rsidRPr="00206BC0">
        <w:rPr>
          <w:rStyle w:val="EndnoteReference"/>
          <w:sz w:val="22"/>
        </w:rPr>
        <w:endnoteReference w:id="15"/>
      </w:r>
      <w:r w:rsidRPr="00206BC0">
        <w:rPr>
          <w:sz w:val="22"/>
          <w:vertAlign w:val="superscript"/>
        </w:rPr>
        <w:t xml:space="preserve">, </w:t>
      </w:r>
      <w:r w:rsidRPr="00206BC0">
        <w:rPr>
          <w:rStyle w:val="EndnoteReference"/>
          <w:sz w:val="22"/>
        </w:rPr>
        <w:endnoteReference w:id="16"/>
      </w:r>
      <w:r w:rsidRPr="00206BC0">
        <w:rPr>
          <w:sz w:val="22"/>
        </w:rPr>
        <w:t xml:space="preserve"> </w:t>
      </w:r>
    </w:p>
    <w:p w14:paraId="34E427D9" w14:textId="2FC25661" w:rsidR="00931D41" w:rsidRDefault="00586DFF" w:rsidP="00586DFF">
      <w:pPr>
        <w:pStyle w:val="ListParagraph"/>
        <w:numPr>
          <w:ilvl w:val="0"/>
          <w:numId w:val="15"/>
        </w:numPr>
        <w:spacing w:after="120"/>
        <w:ind w:left="357" w:hanging="357"/>
        <w:contextualSpacing w:val="0"/>
        <w:rPr>
          <w:sz w:val="22"/>
        </w:rPr>
      </w:pPr>
      <w:r w:rsidRPr="00206BC0">
        <w:rPr>
          <w:sz w:val="22"/>
        </w:rPr>
        <w:t>T</w:t>
      </w:r>
      <w:r w:rsidR="00BA1B05" w:rsidRPr="00206BC0">
        <w:rPr>
          <w:sz w:val="22"/>
        </w:rPr>
        <w:t xml:space="preserve">he </w:t>
      </w:r>
      <w:r w:rsidR="002304FB" w:rsidRPr="00206BC0">
        <w:rPr>
          <w:sz w:val="22"/>
        </w:rPr>
        <w:t xml:space="preserve">prevalence gap may </w:t>
      </w:r>
      <w:r w:rsidRPr="00206BC0">
        <w:rPr>
          <w:sz w:val="22"/>
        </w:rPr>
        <w:t xml:space="preserve">also </w:t>
      </w:r>
      <w:r w:rsidR="002304FB" w:rsidRPr="00206BC0">
        <w:rPr>
          <w:sz w:val="22"/>
        </w:rPr>
        <w:t xml:space="preserve">be </w:t>
      </w:r>
      <w:r w:rsidR="00C33A64" w:rsidRPr="00206BC0">
        <w:rPr>
          <w:sz w:val="22"/>
        </w:rPr>
        <w:t>due</w:t>
      </w:r>
      <w:r w:rsidR="417A0EF0" w:rsidRPr="00206BC0">
        <w:rPr>
          <w:sz w:val="22"/>
        </w:rPr>
        <w:t>,</w:t>
      </w:r>
      <w:r w:rsidR="003D0C32" w:rsidRPr="00206BC0">
        <w:rPr>
          <w:sz w:val="22"/>
        </w:rPr>
        <w:t xml:space="preserve"> in part</w:t>
      </w:r>
      <w:r w:rsidR="417A0EF0" w:rsidRPr="00206BC0">
        <w:rPr>
          <w:sz w:val="22"/>
        </w:rPr>
        <w:t>,</w:t>
      </w:r>
      <w:r w:rsidR="00C33A64" w:rsidRPr="00206BC0">
        <w:rPr>
          <w:sz w:val="22"/>
        </w:rPr>
        <w:t xml:space="preserve"> </w:t>
      </w:r>
      <w:r w:rsidR="00DF667E" w:rsidRPr="00206BC0">
        <w:rPr>
          <w:sz w:val="22"/>
        </w:rPr>
        <w:t xml:space="preserve">to some </w:t>
      </w:r>
      <w:r w:rsidRPr="00206BC0">
        <w:rPr>
          <w:sz w:val="22"/>
        </w:rPr>
        <w:t xml:space="preserve">potentially </w:t>
      </w:r>
      <w:r w:rsidR="00DF667E" w:rsidRPr="00206BC0">
        <w:rPr>
          <w:sz w:val="22"/>
        </w:rPr>
        <w:t>modifiable risk factors for musculoskeletal conditions being more common in women</w:t>
      </w:r>
      <w:r w:rsidR="00BB77BF" w:rsidRPr="00206BC0">
        <w:rPr>
          <w:sz w:val="22"/>
        </w:rPr>
        <w:t xml:space="preserve">. </w:t>
      </w:r>
      <w:r w:rsidR="325558DE" w:rsidRPr="00206BC0">
        <w:rPr>
          <w:sz w:val="22"/>
        </w:rPr>
        <w:t>For example,</w:t>
      </w:r>
      <w:r w:rsidR="00577EAF" w:rsidRPr="00206BC0">
        <w:rPr>
          <w:sz w:val="22"/>
        </w:rPr>
        <w:t xml:space="preserve"> in England</w:t>
      </w:r>
      <w:r w:rsidR="325558DE" w:rsidRPr="00206BC0">
        <w:rPr>
          <w:sz w:val="22"/>
        </w:rPr>
        <w:t xml:space="preserve"> </w:t>
      </w:r>
      <w:r w:rsidR="00BB77BF" w:rsidRPr="00206BC0">
        <w:rPr>
          <w:sz w:val="22"/>
        </w:rPr>
        <w:t xml:space="preserve">women are </w:t>
      </w:r>
      <w:r w:rsidR="00BA17DC" w:rsidRPr="00206BC0">
        <w:rPr>
          <w:sz w:val="22"/>
        </w:rPr>
        <w:t>less likely to be physically active</w:t>
      </w:r>
      <w:r w:rsidR="000D55A8" w:rsidRPr="00206BC0">
        <w:rPr>
          <w:sz w:val="22"/>
        </w:rPr>
        <w:t xml:space="preserve"> than men</w:t>
      </w:r>
      <w:r w:rsidR="00C96311" w:rsidRPr="00206BC0">
        <w:rPr>
          <w:sz w:val="22"/>
        </w:rPr>
        <w:t xml:space="preserve"> </w:t>
      </w:r>
      <w:r w:rsidR="00BA17DC" w:rsidRPr="00206BC0">
        <w:rPr>
          <w:sz w:val="22"/>
        </w:rPr>
        <w:t>(</w:t>
      </w:r>
      <w:r w:rsidR="00A54C61" w:rsidRPr="00206BC0">
        <w:rPr>
          <w:sz w:val="22"/>
        </w:rPr>
        <w:t>6</w:t>
      </w:r>
      <w:r w:rsidR="005A0790" w:rsidRPr="00206BC0">
        <w:rPr>
          <w:sz w:val="22"/>
        </w:rPr>
        <w:t>5</w:t>
      </w:r>
      <w:r w:rsidR="00A54C61" w:rsidRPr="00206BC0">
        <w:rPr>
          <w:sz w:val="22"/>
        </w:rPr>
        <w:t>% of women</w:t>
      </w:r>
      <w:r w:rsidR="44231AE0" w:rsidRPr="00206BC0">
        <w:rPr>
          <w:sz w:val="22"/>
        </w:rPr>
        <w:t>,</w:t>
      </w:r>
      <w:r w:rsidR="00C440AC" w:rsidRPr="00206BC0">
        <w:rPr>
          <w:sz w:val="22"/>
        </w:rPr>
        <w:t xml:space="preserve"> versus </w:t>
      </w:r>
      <w:r w:rsidR="00A54C61" w:rsidRPr="00206BC0">
        <w:rPr>
          <w:sz w:val="22"/>
        </w:rPr>
        <w:t>68% of men</w:t>
      </w:r>
      <w:r w:rsidR="001D5AD7" w:rsidRPr="00206BC0">
        <w:rPr>
          <w:rStyle w:val="EndnoteReference"/>
          <w:sz w:val="22"/>
        </w:rPr>
        <w:endnoteReference w:id="17"/>
      </w:r>
      <w:r w:rsidR="00BA17DC" w:rsidRPr="00206BC0">
        <w:rPr>
          <w:sz w:val="22"/>
        </w:rPr>
        <w:t>)</w:t>
      </w:r>
      <w:r w:rsidR="006A6DB9" w:rsidRPr="00206BC0">
        <w:rPr>
          <w:sz w:val="22"/>
        </w:rPr>
        <w:t>,</w:t>
      </w:r>
      <w:r w:rsidR="00AD426D" w:rsidRPr="00206BC0">
        <w:rPr>
          <w:sz w:val="22"/>
        </w:rPr>
        <w:t xml:space="preserve"> and </w:t>
      </w:r>
      <w:r w:rsidR="0B974B84" w:rsidRPr="00206BC0">
        <w:rPr>
          <w:sz w:val="22"/>
        </w:rPr>
        <w:t xml:space="preserve">they </w:t>
      </w:r>
      <w:r w:rsidR="00AD426D" w:rsidRPr="00206BC0">
        <w:rPr>
          <w:sz w:val="22"/>
        </w:rPr>
        <w:t xml:space="preserve">are </w:t>
      </w:r>
      <w:r w:rsidR="000D55A8" w:rsidRPr="00206BC0">
        <w:rPr>
          <w:sz w:val="22"/>
        </w:rPr>
        <w:t xml:space="preserve">also </w:t>
      </w:r>
      <w:r w:rsidR="00206C98" w:rsidRPr="00206BC0">
        <w:rPr>
          <w:sz w:val="22"/>
        </w:rPr>
        <w:t xml:space="preserve">more likely to </w:t>
      </w:r>
      <w:r w:rsidR="00772AEC" w:rsidRPr="00206BC0">
        <w:rPr>
          <w:sz w:val="22"/>
        </w:rPr>
        <w:t xml:space="preserve">be </w:t>
      </w:r>
      <w:r w:rsidR="002D0178" w:rsidRPr="00206BC0">
        <w:rPr>
          <w:sz w:val="22"/>
        </w:rPr>
        <w:t>classed as obese or morbidly obese (2</w:t>
      </w:r>
      <w:r w:rsidR="00E13B8A" w:rsidRPr="00206BC0">
        <w:rPr>
          <w:sz w:val="22"/>
        </w:rPr>
        <w:t>9</w:t>
      </w:r>
      <w:r w:rsidR="002D0178" w:rsidRPr="00206BC0">
        <w:rPr>
          <w:sz w:val="22"/>
        </w:rPr>
        <w:t xml:space="preserve">% of women </w:t>
      </w:r>
      <w:r w:rsidR="00C440AC" w:rsidRPr="00206BC0">
        <w:rPr>
          <w:sz w:val="22"/>
        </w:rPr>
        <w:t xml:space="preserve">versus </w:t>
      </w:r>
      <w:r w:rsidR="002D0178" w:rsidRPr="00206BC0">
        <w:rPr>
          <w:sz w:val="22"/>
        </w:rPr>
        <w:t>26% of men</w:t>
      </w:r>
      <w:r w:rsidR="00553C30" w:rsidRPr="00206BC0">
        <w:rPr>
          <w:sz w:val="22"/>
        </w:rPr>
        <w:t xml:space="preserve"> </w:t>
      </w:r>
      <w:r w:rsidR="009363A0" w:rsidRPr="00206BC0">
        <w:rPr>
          <w:rStyle w:val="EndnoteReference"/>
          <w:sz w:val="22"/>
        </w:rPr>
        <w:endnoteReference w:id="18"/>
      </w:r>
      <w:r w:rsidR="002D0178" w:rsidRPr="00206BC0">
        <w:rPr>
          <w:sz w:val="22"/>
        </w:rPr>
        <w:t>)</w:t>
      </w:r>
      <w:r w:rsidR="00272D85" w:rsidRPr="00206BC0">
        <w:rPr>
          <w:sz w:val="22"/>
        </w:rPr>
        <w:t xml:space="preserve">. These are both </w:t>
      </w:r>
      <w:r w:rsidR="00C11403" w:rsidRPr="00206BC0">
        <w:rPr>
          <w:sz w:val="22"/>
        </w:rPr>
        <w:t xml:space="preserve">key </w:t>
      </w:r>
      <w:r w:rsidR="00E91AB8" w:rsidRPr="00206BC0">
        <w:rPr>
          <w:sz w:val="22"/>
        </w:rPr>
        <w:t xml:space="preserve">factors associated with an increased risk of developing a musculoskeletal condition. </w:t>
      </w:r>
    </w:p>
    <w:p w14:paraId="4D78A054" w14:textId="4345EC73" w:rsidR="000E3599" w:rsidRPr="000E3599" w:rsidRDefault="000E3599" w:rsidP="000E3599">
      <w:pPr>
        <w:pStyle w:val="ListParagraph"/>
        <w:numPr>
          <w:ilvl w:val="0"/>
          <w:numId w:val="15"/>
        </w:numPr>
        <w:spacing w:after="120"/>
        <w:ind w:left="357" w:hanging="357"/>
        <w:contextualSpacing w:val="0"/>
        <w:rPr>
          <w:sz w:val="22"/>
        </w:rPr>
      </w:pPr>
      <w:r>
        <w:rPr>
          <w:sz w:val="22"/>
        </w:rPr>
        <w:t>It’s also important to note that t</w:t>
      </w:r>
      <w:r w:rsidRPr="00206BC0">
        <w:rPr>
          <w:sz w:val="22"/>
        </w:rPr>
        <w:t>he same health inequalities that are seen in many long-term conditions are also seen in chronic pain</w:t>
      </w:r>
      <w:r w:rsidR="004D2184">
        <w:rPr>
          <w:sz w:val="22"/>
        </w:rPr>
        <w:t>, which may result in women being at an increased</w:t>
      </w:r>
      <w:r w:rsidR="00737D23">
        <w:rPr>
          <w:sz w:val="22"/>
        </w:rPr>
        <w:t xml:space="preserve"> risk of developing chronic pain.</w:t>
      </w:r>
      <w:r w:rsidRPr="00206BC0">
        <w:rPr>
          <w:sz w:val="22"/>
        </w:rPr>
        <w:t xml:space="preserve"> Adverse social and psychological experiences increase people’s risk of developing chronic pain</w:t>
      </w:r>
      <w:r w:rsidR="00AF031E">
        <w:rPr>
          <w:sz w:val="22"/>
        </w:rPr>
        <w:t>,</w:t>
      </w:r>
      <w:r w:rsidR="003B0A72">
        <w:rPr>
          <w:sz w:val="22"/>
        </w:rPr>
        <w:t xml:space="preserve"> and g</w:t>
      </w:r>
      <w:r w:rsidRPr="00206BC0">
        <w:rPr>
          <w:sz w:val="22"/>
        </w:rPr>
        <w:t>roups that in our society experience greater life stress, disadvantage</w:t>
      </w:r>
      <w:r w:rsidR="00B01630">
        <w:rPr>
          <w:sz w:val="22"/>
        </w:rPr>
        <w:t>,</w:t>
      </w:r>
      <w:r w:rsidRPr="00206BC0">
        <w:rPr>
          <w:sz w:val="22"/>
        </w:rPr>
        <w:t xml:space="preserve"> and discrimination are more likely to have chronic pain.</w:t>
      </w:r>
      <w:bookmarkStart w:id="7" w:name="_Ref74321895"/>
      <w:r w:rsidR="00731556">
        <w:rPr>
          <w:rStyle w:val="EndnoteReference"/>
          <w:sz w:val="22"/>
        </w:rPr>
        <w:endnoteReference w:id="19"/>
      </w:r>
      <w:bookmarkEnd w:id="7"/>
    </w:p>
    <w:p w14:paraId="78CA8D7C" w14:textId="4115FC06" w:rsidR="00644AA8" w:rsidRPr="00931D41" w:rsidRDefault="00EA6350" w:rsidP="00931D41">
      <w:pPr>
        <w:pStyle w:val="ListParagraph"/>
        <w:numPr>
          <w:ilvl w:val="0"/>
          <w:numId w:val="15"/>
        </w:numPr>
        <w:spacing w:after="120"/>
        <w:ind w:left="357" w:hanging="357"/>
        <w:contextualSpacing w:val="0"/>
        <w:rPr>
          <w:sz w:val="22"/>
        </w:rPr>
      </w:pPr>
      <w:r w:rsidRPr="00931D41">
        <w:rPr>
          <w:sz w:val="22"/>
        </w:rPr>
        <w:lastRenderedPageBreak/>
        <w:t>In 2017, the</w:t>
      </w:r>
      <w:r w:rsidR="00FC5D1B" w:rsidRPr="00931D41">
        <w:rPr>
          <w:sz w:val="22"/>
        </w:rPr>
        <w:t xml:space="preserve"> Industrial Strategy published by the</w:t>
      </w:r>
      <w:r w:rsidRPr="00931D41">
        <w:rPr>
          <w:sz w:val="22"/>
        </w:rPr>
        <w:t xml:space="preserve"> </w:t>
      </w:r>
      <w:r w:rsidR="00815ACF" w:rsidRPr="00931D41">
        <w:rPr>
          <w:sz w:val="22"/>
        </w:rPr>
        <w:t>Department for Business, Energy &amp; Industrial Strategy (BEIS)</w:t>
      </w:r>
      <w:r w:rsidR="00FC5D1B" w:rsidRPr="00931D41">
        <w:rPr>
          <w:sz w:val="22"/>
        </w:rPr>
        <w:t xml:space="preserve"> set </w:t>
      </w:r>
      <w:r w:rsidR="00305751" w:rsidRPr="00931D41">
        <w:rPr>
          <w:sz w:val="22"/>
        </w:rPr>
        <w:t>out a number of ‘Grand Challenges</w:t>
      </w:r>
      <w:r w:rsidR="00EC0A85" w:rsidRPr="00931D41">
        <w:rPr>
          <w:sz w:val="22"/>
        </w:rPr>
        <w:t>’</w:t>
      </w:r>
      <w:r w:rsidR="00305751" w:rsidRPr="00931D41">
        <w:rPr>
          <w:sz w:val="22"/>
        </w:rPr>
        <w:t xml:space="preserve"> </w:t>
      </w:r>
      <w:r w:rsidR="00756762">
        <w:rPr>
          <w:sz w:val="22"/>
        </w:rPr>
        <w:t xml:space="preserve">for </w:t>
      </w:r>
      <w:r w:rsidR="00305751" w:rsidRPr="00931D41">
        <w:rPr>
          <w:sz w:val="22"/>
        </w:rPr>
        <w:t xml:space="preserve">the </w:t>
      </w:r>
      <w:r w:rsidR="00256EC7">
        <w:rPr>
          <w:sz w:val="22"/>
        </w:rPr>
        <w:t>g</w:t>
      </w:r>
      <w:r w:rsidR="00305751" w:rsidRPr="00931D41">
        <w:rPr>
          <w:sz w:val="22"/>
        </w:rPr>
        <w:t xml:space="preserve">overnment </w:t>
      </w:r>
      <w:r w:rsidR="00756762">
        <w:rPr>
          <w:sz w:val="22"/>
        </w:rPr>
        <w:t>to</w:t>
      </w:r>
      <w:r w:rsidR="00305751" w:rsidRPr="00931D41">
        <w:rPr>
          <w:sz w:val="22"/>
        </w:rPr>
        <w:t xml:space="preserve"> deliver on, including </w:t>
      </w:r>
      <w:r w:rsidR="005E2640" w:rsidRPr="00931D41">
        <w:rPr>
          <w:sz w:val="22"/>
        </w:rPr>
        <w:t xml:space="preserve">the aim </w:t>
      </w:r>
      <w:r w:rsidR="5309F441" w:rsidRPr="649EA511">
        <w:rPr>
          <w:sz w:val="22"/>
        </w:rPr>
        <w:t xml:space="preserve">of </w:t>
      </w:r>
      <w:r w:rsidR="13E1B8A6" w:rsidRPr="27D74270">
        <w:rPr>
          <w:sz w:val="22"/>
        </w:rPr>
        <w:t xml:space="preserve">ensuring </w:t>
      </w:r>
      <w:r w:rsidR="08786E2E" w:rsidRPr="14461A8C">
        <w:rPr>
          <w:sz w:val="22"/>
        </w:rPr>
        <w:t xml:space="preserve">that </w:t>
      </w:r>
      <w:r w:rsidR="314C486C" w:rsidRPr="27D74270">
        <w:rPr>
          <w:sz w:val="22"/>
        </w:rPr>
        <w:t>‘</w:t>
      </w:r>
      <w:r w:rsidR="005E2640" w:rsidRPr="00931D41">
        <w:rPr>
          <w:sz w:val="22"/>
        </w:rPr>
        <w:t>people can enjoy at least 5 extra healthy, independent years of life by 2035</w:t>
      </w:r>
      <w:r w:rsidR="00644AA8" w:rsidRPr="00931D41">
        <w:rPr>
          <w:sz w:val="22"/>
        </w:rPr>
        <w:t xml:space="preserve">, </w:t>
      </w:r>
      <w:r w:rsidR="00F80B16" w:rsidRPr="00931D41">
        <w:rPr>
          <w:sz w:val="22"/>
        </w:rPr>
        <w:t>while narrowing the gap between the experience of the richest and poorest</w:t>
      </w:r>
      <w:r w:rsidR="00BB6D8C" w:rsidRPr="00931D41">
        <w:rPr>
          <w:sz w:val="22"/>
        </w:rPr>
        <w:t>’</w:t>
      </w:r>
      <w:r w:rsidR="005E2640" w:rsidRPr="00931D41">
        <w:rPr>
          <w:sz w:val="22"/>
        </w:rPr>
        <w:t>.</w:t>
      </w:r>
      <w:r w:rsidR="005E2640" w:rsidRPr="00D94D27">
        <w:rPr>
          <w:rStyle w:val="EndnoteReference"/>
          <w:sz w:val="22"/>
        </w:rPr>
        <w:endnoteReference w:id="20"/>
      </w:r>
    </w:p>
    <w:p w14:paraId="4E7E14F0" w14:textId="49410584" w:rsidR="005E773D" w:rsidRDefault="00170911" w:rsidP="005E773D">
      <w:pPr>
        <w:pStyle w:val="ListParagraph"/>
        <w:numPr>
          <w:ilvl w:val="0"/>
          <w:numId w:val="15"/>
        </w:numPr>
        <w:spacing w:after="120"/>
        <w:ind w:left="357" w:hanging="357"/>
        <w:contextualSpacing w:val="0"/>
        <w:rPr>
          <w:sz w:val="22"/>
        </w:rPr>
      </w:pPr>
      <w:r w:rsidRPr="00D94D27">
        <w:rPr>
          <w:sz w:val="22"/>
        </w:rPr>
        <w:t xml:space="preserve">While </w:t>
      </w:r>
      <w:r w:rsidR="00931CDC" w:rsidRPr="00D94D27">
        <w:rPr>
          <w:sz w:val="22"/>
        </w:rPr>
        <w:t xml:space="preserve">the UK life expectancy for women in the UK is higher than </w:t>
      </w:r>
      <w:r w:rsidR="6B875BCD" w:rsidRPr="0E76C71A">
        <w:rPr>
          <w:sz w:val="22"/>
        </w:rPr>
        <w:t xml:space="preserve">for </w:t>
      </w:r>
      <w:r w:rsidR="00931CDC" w:rsidRPr="00D94D27">
        <w:rPr>
          <w:sz w:val="22"/>
        </w:rPr>
        <w:t>men,</w:t>
      </w:r>
      <w:r w:rsidR="003729DA" w:rsidRPr="00D94D27">
        <w:rPr>
          <w:sz w:val="22"/>
        </w:rPr>
        <w:t xml:space="preserve"> women</w:t>
      </w:r>
      <w:r w:rsidR="004E346D" w:rsidRPr="00D94D27">
        <w:rPr>
          <w:sz w:val="22"/>
        </w:rPr>
        <w:t xml:space="preserve"> </w:t>
      </w:r>
      <w:r w:rsidR="00831B3A" w:rsidRPr="00D94D27">
        <w:rPr>
          <w:sz w:val="22"/>
        </w:rPr>
        <w:t xml:space="preserve">can expect to </w:t>
      </w:r>
      <w:r w:rsidR="006D0F43" w:rsidRPr="00D94D27">
        <w:rPr>
          <w:sz w:val="22"/>
        </w:rPr>
        <w:t xml:space="preserve">spend </w:t>
      </w:r>
      <w:r w:rsidR="004E346D" w:rsidRPr="00D94D27">
        <w:rPr>
          <w:sz w:val="22"/>
        </w:rPr>
        <w:t>nearly a quarter of their lives</w:t>
      </w:r>
      <w:r w:rsidR="004E346D" w:rsidRPr="004E346D">
        <w:rPr>
          <w:sz w:val="22"/>
        </w:rPr>
        <w:t xml:space="preserve"> </w:t>
      </w:r>
      <w:r w:rsidR="006D0F43">
        <w:rPr>
          <w:sz w:val="22"/>
        </w:rPr>
        <w:t xml:space="preserve">(19.3 years on average) </w:t>
      </w:r>
      <w:r w:rsidR="004E346D" w:rsidRPr="004E346D">
        <w:rPr>
          <w:sz w:val="22"/>
        </w:rPr>
        <w:t>in poor health</w:t>
      </w:r>
      <w:r w:rsidR="004E346D">
        <w:rPr>
          <w:sz w:val="22"/>
        </w:rPr>
        <w:t>,</w:t>
      </w:r>
      <w:r w:rsidR="004E346D" w:rsidRPr="004E346D">
        <w:rPr>
          <w:sz w:val="22"/>
        </w:rPr>
        <w:t xml:space="preserve"> compared to a fifth </w:t>
      </w:r>
      <w:r w:rsidR="004E346D">
        <w:rPr>
          <w:sz w:val="22"/>
        </w:rPr>
        <w:t>for</w:t>
      </w:r>
      <w:r w:rsidR="004E346D" w:rsidRPr="004E346D">
        <w:rPr>
          <w:sz w:val="22"/>
        </w:rPr>
        <w:t xml:space="preserve"> men</w:t>
      </w:r>
      <w:r w:rsidR="00404892">
        <w:rPr>
          <w:sz w:val="22"/>
        </w:rPr>
        <w:t xml:space="preserve"> (16.2 years).</w:t>
      </w:r>
      <w:r w:rsidR="003B429E">
        <w:rPr>
          <w:rStyle w:val="EndnoteReference"/>
          <w:sz w:val="22"/>
        </w:rPr>
        <w:endnoteReference w:id="21"/>
      </w:r>
      <w:r w:rsidR="003729DA">
        <w:rPr>
          <w:sz w:val="22"/>
        </w:rPr>
        <w:t xml:space="preserve"> </w:t>
      </w:r>
    </w:p>
    <w:p w14:paraId="626E40CF" w14:textId="55845D96" w:rsidR="00C75FC0" w:rsidRPr="002A14CF" w:rsidRDefault="00FF06F7" w:rsidP="002A14CF">
      <w:pPr>
        <w:pStyle w:val="ListParagraph"/>
        <w:numPr>
          <w:ilvl w:val="0"/>
          <w:numId w:val="15"/>
        </w:numPr>
        <w:spacing w:after="120"/>
        <w:rPr>
          <w:sz w:val="22"/>
        </w:rPr>
      </w:pPr>
      <w:r w:rsidRPr="009531E1">
        <w:rPr>
          <w:sz w:val="22"/>
        </w:rPr>
        <w:t>To</w:t>
      </w:r>
      <w:r w:rsidR="006801E1" w:rsidRPr="009531E1">
        <w:rPr>
          <w:sz w:val="22"/>
        </w:rPr>
        <w:t xml:space="preserve"> </w:t>
      </w:r>
      <w:r w:rsidR="00831B3A" w:rsidRPr="009531E1">
        <w:rPr>
          <w:sz w:val="22"/>
        </w:rPr>
        <w:t xml:space="preserve">achieve </w:t>
      </w:r>
      <w:r w:rsidR="005E773D" w:rsidRPr="009531E1">
        <w:rPr>
          <w:sz w:val="22"/>
        </w:rPr>
        <w:t>its</w:t>
      </w:r>
      <w:r w:rsidR="006801E1" w:rsidRPr="009531E1">
        <w:rPr>
          <w:sz w:val="22"/>
        </w:rPr>
        <w:t xml:space="preserve"> healthy </w:t>
      </w:r>
      <w:r w:rsidR="00F80B16" w:rsidRPr="009531E1">
        <w:rPr>
          <w:sz w:val="22"/>
        </w:rPr>
        <w:t xml:space="preserve">life </w:t>
      </w:r>
      <w:r w:rsidR="006801E1" w:rsidRPr="009531E1">
        <w:rPr>
          <w:sz w:val="22"/>
        </w:rPr>
        <w:t>expectancy</w:t>
      </w:r>
      <w:r w:rsidR="006A55BB" w:rsidRPr="009531E1">
        <w:rPr>
          <w:sz w:val="22"/>
        </w:rPr>
        <w:t xml:space="preserve"> and </w:t>
      </w:r>
      <w:r w:rsidR="00870834" w:rsidRPr="009531E1">
        <w:rPr>
          <w:sz w:val="22"/>
        </w:rPr>
        <w:t xml:space="preserve">health </w:t>
      </w:r>
      <w:r w:rsidR="006A55BB" w:rsidRPr="009531E1">
        <w:rPr>
          <w:sz w:val="22"/>
        </w:rPr>
        <w:t>equality</w:t>
      </w:r>
      <w:r w:rsidR="006801E1" w:rsidRPr="009531E1">
        <w:rPr>
          <w:sz w:val="22"/>
        </w:rPr>
        <w:t xml:space="preserve"> goal</w:t>
      </w:r>
      <w:r w:rsidR="006A55BB" w:rsidRPr="009531E1">
        <w:rPr>
          <w:sz w:val="22"/>
        </w:rPr>
        <w:t>s</w:t>
      </w:r>
      <w:r w:rsidR="00F80B16" w:rsidRPr="009531E1">
        <w:rPr>
          <w:sz w:val="22"/>
        </w:rPr>
        <w:t>, the</w:t>
      </w:r>
      <w:r w:rsidR="005C65C9" w:rsidRPr="009531E1">
        <w:rPr>
          <w:sz w:val="22"/>
        </w:rPr>
        <w:t xml:space="preserve"> newly established Office for</w:t>
      </w:r>
      <w:r w:rsidR="00F80B16" w:rsidRPr="009531E1">
        <w:rPr>
          <w:sz w:val="22"/>
        </w:rPr>
        <w:t xml:space="preserve"> </w:t>
      </w:r>
      <w:r w:rsidR="00713B07" w:rsidRPr="009531E1">
        <w:rPr>
          <w:sz w:val="22"/>
        </w:rPr>
        <w:t>Health Promotion</w:t>
      </w:r>
      <w:r w:rsidR="000076A7" w:rsidRPr="009531E1">
        <w:rPr>
          <w:sz w:val="22"/>
        </w:rPr>
        <w:t>,</w:t>
      </w:r>
      <w:r w:rsidR="00713B07" w:rsidRPr="009531E1">
        <w:rPr>
          <w:sz w:val="22"/>
        </w:rPr>
        <w:t xml:space="preserve"> </w:t>
      </w:r>
      <w:r w:rsidR="000076A7" w:rsidRPr="009531E1">
        <w:rPr>
          <w:sz w:val="22"/>
        </w:rPr>
        <w:t xml:space="preserve">and the health system more broadly, </w:t>
      </w:r>
      <w:r w:rsidR="00F80B16" w:rsidRPr="009531E1">
        <w:rPr>
          <w:sz w:val="22"/>
        </w:rPr>
        <w:t>needs</w:t>
      </w:r>
      <w:r w:rsidR="00767607" w:rsidRPr="009531E1">
        <w:rPr>
          <w:sz w:val="22"/>
        </w:rPr>
        <w:t xml:space="preserve"> </w:t>
      </w:r>
      <w:r w:rsidR="00413F85" w:rsidRPr="009531E1">
        <w:rPr>
          <w:sz w:val="22"/>
        </w:rPr>
        <w:t xml:space="preserve">to </w:t>
      </w:r>
      <w:r w:rsidR="00767607" w:rsidRPr="009531E1">
        <w:rPr>
          <w:sz w:val="22"/>
        </w:rPr>
        <w:t xml:space="preserve">prioritise investing in programmes </w:t>
      </w:r>
      <w:r w:rsidR="00713B07" w:rsidRPr="009531E1">
        <w:rPr>
          <w:sz w:val="22"/>
        </w:rPr>
        <w:t>that are designed to improve</w:t>
      </w:r>
      <w:r w:rsidR="00F80B16" w:rsidRPr="009531E1">
        <w:rPr>
          <w:sz w:val="22"/>
        </w:rPr>
        <w:t xml:space="preserve"> the </w:t>
      </w:r>
      <w:r w:rsidR="00983EFA" w:rsidRPr="009531E1">
        <w:rPr>
          <w:sz w:val="22"/>
        </w:rPr>
        <w:t xml:space="preserve">prevention and management of </w:t>
      </w:r>
      <w:r w:rsidR="00713B07" w:rsidRPr="009531E1">
        <w:rPr>
          <w:sz w:val="22"/>
        </w:rPr>
        <w:t xml:space="preserve">conditions </w:t>
      </w:r>
      <w:r w:rsidR="00FA23DC" w:rsidRPr="009531E1">
        <w:rPr>
          <w:sz w:val="22"/>
        </w:rPr>
        <w:t xml:space="preserve">that </w:t>
      </w:r>
      <w:r w:rsidR="005E773D" w:rsidRPr="009531E1">
        <w:rPr>
          <w:sz w:val="22"/>
        </w:rPr>
        <w:t>disproportionately impact women</w:t>
      </w:r>
      <w:r w:rsidR="0058618D" w:rsidRPr="009531E1">
        <w:rPr>
          <w:sz w:val="22"/>
        </w:rPr>
        <w:t xml:space="preserve">, </w:t>
      </w:r>
      <w:r w:rsidR="00674469" w:rsidRPr="009531E1">
        <w:rPr>
          <w:sz w:val="22"/>
        </w:rPr>
        <w:t>especially</w:t>
      </w:r>
      <w:r w:rsidR="00EB035A" w:rsidRPr="009531E1">
        <w:rPr>
          <w:sz w:val="22"/>
        </w:rPr>
        <w:t xml:space="preserve"> </w:t>
      </w:r>
      <w:r w:rsidR="00391B44" w:rsidRPr="009531E1">
        <w:rPr>
          <w:sz w:val="22"/>
        </w:rPr>
        <w:t>those</w:t>
      </w:r>
      <w:r w:rsidR="00EB035A" w:rsidRPr="009531E1">
        <w:rPr>
          <w:sz w:val="22"/>
        </w:rPr>
        <w:t xml:space="preserve"> living in areas</w:t>
      </w:r>
      <w:r w:rsidR="00A7661C" w:rsidRPr="009531E1">
        <w:rPr>
          <w:sz w:val="22"/>
        </w:rPr>
        <w:t xml:space="preserve"> of high </w:t>
      </w:r>
      <w:r w:rsidR="00EB035A" w:rsidRPr="009531E1">
        <w:rPr>
          <w:sz w:val="22"/>
        </w:rPr>
        <w:t>depriv</w:t>
      </w:r>
      <w:r w:rsidR="00A7661C" w:rsidRPr="009531E1">
        <w:rPr>
          <w:sz w:val="22"/>
        </w:rPr>
        <w:t>ation</w:t>
      </w:r>
      <w:r w:rsidR="00713B07" w:rsidRPr="009531E1">
        <w:rPr>
          <w:sz w:val="22"/>
        </w:rPr>
        <w:t xml:space="preserve">, </w:t>
      </w:r>
      <w:r w:rsidR="00557035" w:rsidRPr="009531E1">
        <w:rPr>
          <w:sz w:val="22"/>
        </w:rPr>
        <w:t xml:space="preserve">including chronic pain and </w:t>
      </w:r>
      <w:r w:rsidR="00713B07" w:rsidRPr="009531E1">
        <w:rPr>
          <w:sz w:val="22"/>
        </w:rPr>
        <w:t>musculoskeletal con</w:t>
      </w:r>
      <w:r w:rsidR="00713B07" w:rsidRPr="00804948">
        <w:rPr>
          <w:sz w:val="22"/>
        </w:rPr>
        <w:t>ditions</w:t>
      </w:r>
      <w:r w:rsidR="00EB035A" w:rsidRPr="00804948">
        <w:rPr>
          <w:sz w:val="22"/>
        </w:rPr>
        <w:t>.</w:t>
      </w:r>
      <w:r w:rsidR="009531E1" w:rsidRPr="00804948">
        <w:rPr>
          <w:sz w:val="22"/>
        </w:rPr>
        <w:fldChar w:fldCharType="begin"/>
      </w:r>
      <w:r w:rsidR="009531E1" w:rsidRPr="00804948">
        <w:rPr>
          <w:sz w:val="22"/>
        </w:rPr>
        <w:instrText xml:space="preserve"> NOTEREF _Ref73957626 \f \h  \* MERGEFORMAT </w:instrText>
      </w:r>
      <w:r w:rsidR="009531E1" w:rsidRPr="00804948">
        <w:rPr>
          <w:sz w:val="22"/>
        </w:rPr>
      </w:r>
      <w:r w:rsidR="009531E1" w:rsidRPr="00804948">
        <w:rPr>
          <w:sz w:val="22"/>
        </w:rPr>
        <w:fldChar w:fldCharType="separate"/>
      </w:r>
      <w:r w:rsidR="005D0525" w:rsidRPr="005D0525">
        <w:rPr>
          <w:rStyle w:val="EndnoteReference"/>
          <w:sz w:val="22"/>
        </w:rPr>
        <w:t>3</w:t>
      </w:r>
      <w:r w:rsidR="009531E1" w:rsidRPr="00804948">
        <w:rPr>
          <w:sz w:val="22"/>
        </w:rPr>
        <w:fldChar w:fldCharType="end"/>
      </w:r>
      <w:r w:rsidR="00804948" w:rsidRPr="00804948">
        <w:rPr>
          <w:sz w:val="22"/>
          <w:vertAlign w:val="superscript"/>
        </w:rPr>
        <w:t xml:space="preserve">, </w:t>
      </w:r>
      <w:r w:rsidR="00804948" w:rsidRPr="00804948">
        <w:rPr>
          <w:sz w:val="22"/>
          <w:vertAlign w:val="superscript"/>
        </w:rPr>
        <w:fldChar w:fldCharType="begin"/>
      </w:r>
      <w:r w:rsidR="00804948" w:rsidRPr="00804948">
        <w:rPr>
          <w:sz w:val="22"/>
          <w:vertAlign w:val="superscript"/>
        </w:rPr>
        <w:instrText xml:space="preserve"> NOTEREF _Ref74321895 \f \h </w:instrText>
      </w:r>
      <w:r w:rsidR="00804948">
        <w:rPr>
          <w:sz w:val="22"/>
          <w:vertAlign w:val="superscript"/>
        </w:rPr>
        <w:instrText xml:space="preserve"> \* MERGEFORMAT </w:instrText>
      </w:r>
      <w:r w:rsidR="00804948" w:rsidRPr="00804948">
        <w:rPr>
          <w:sz w:val="22"/>
          <w:vertAlign w:val="superscript"/>
        </w:rPr>
      </w:r>
      <w:r w:rsidR="00804948" w:rsidRPr="00804948">
        <w:rPr>
          <w:sz w:val="22"/>
          <w:vertAlign w:val="superscript"/>
        </w:rPr>
        <w:fldChar w:fldCharType="separate"/>
      </w:r>
      <w:r w:rsidR="005D0525" w:rsidRPr="005D0525">
        <w:rPr>
          <w:rStyle w:val="EndnoteReference"/>
          <w:sz w:val="22"/>
        </w:rPr>
        <w:t>18</w:t>
      </w:r>
      <w:r w:rsidR="00804948" w:rsidRPr="00804948">
        <w:rPr>
          <w:sz w:val="22"/>
          <w:vertAlign w:val="superscript"/>
        </w:rPr>
        <w:fldChar w:fldCharType="end"/>
      </w:r>
    </w:p>
    <w:p w14:paraId="08BF7819" w14:textId="650B3977" w:rsidR="00C75FC0" w:rsidRPr="00D90856" w:rsidRDefault="00934198" w:rsidP="00274A1C">
      <w:pPr>
        <w:spacing w:after="120" w:line="240" w:lineRule="auto"/>
        <w:rPr>
          <w:rFonts w:cs="Arial"/>
          <w:b/>
          <w:bCs/>
          <w:sz w:val="22"/>
        </w:rPr>
      </w:pPr>
      <w:r w:rsidRPr="00D90856">
        <w:rPr>
          <w:rFonts w:cs="Arial"/>
          <w:b/>
          <w:bCs/>
          <w:sz w:val="22"/>
        </w:rPr>
        <w:t>Condition</w:t>
      </w:r>
      <w:r w:rsidR="00A01EFE">
        <w:rPr>
          <w:rFonts w:cs="Arial"/>
          <w:b/>
          <w:bCs/>
          <w:sz w:val="22"/>
        </w:rPr>
        <w:t>-</w:t>
      </w:r>
      <w:r w:rsidRPr="00D90856">
        <w:rPr>
          <w:rFonts w:cs="Arial"/>
          <w:b/>
          <w:bCs/>
          <w:sz w:val="22"/>
        </w:rPr>
        <w:t xml:space="preserve">specific </w:t>
      </w:r>
      <w:r w:rsidR="00A01EFE">
        <w:rPr>
          <w:rFonts w:cs="Arial"/>
          <w:b/>
          <w:bCs/>
          <w:sz w:val="22"/>
        </w:rPr>
        <w:t xml:space="preserve">prevalence </w:t>
      </w:r>
      <w:r w:rsidRPr="00D90856">
        <w:rPr>
          <w:rFonts w:cs="Arial"/>
          <w:b/>
          <w:bCs/>
          <w:sz w:val="22"/>
        </w:rPr>
        <w:t>estimates</w:t>
      </w:r>
      <w:r w:rsidR="008C4CAA">
        <w:rPr>
          <w:rFonts w:cs="Arial"/>
          <w:b/>
          <w:bCs/>
          <w:sz w:val="22"/>
        </w:rPr>
        <w:t xml:space="preserve"> </w:t>
      </w:r>
    </w:p>
    <w:p w14:paraId="63B68DE7" w14:textId="77777777" w:rsidR="00934198" w:rsidRPr="0035035A" w:rsidRDefault="00934198" w:rsidP="00934198">
      <w:pPr>
        <w:pStyle w:val="ListParagraph"/>
        <w:numPr>
          <w:ilvl w:val="0"/>
          <w:numId w:val="15"/>
        </w:numPr>
        <w:spacing w:after="0"/>
        <w:ind w:hanging="357"/>
        <w:contextualSpacing w:val="0"/>
        <w:rPr>
          <w:b/>
          <w:sz w:val="22"/>
        </w:rPr>
      </w:pPr>
      <w:r w:rsidRPr="00274A1C">
        <w:rPr>
          <w:b/>
          <w:sz w:val="22"/>
        </w:rPr>
        <w:t>Rheumatoid arthritis</w:t>
      </w:r>
    </w:p>
    <w:p w14:paraId="6D6EB3D4" w14:textId="75AC9B2B" w:rsidR="00934198" w:rsidRPr="007A09E0" w:rsidRDefault="00934198" w:rsidP="00934198">
      <w:pPr>
        <w:pStyle w:val="ListParagraph"/>
        <w:numPr>
          <w:ilvl w:val="0"/>
          <w:numId w:val="3"/>
        </w:numPr>
        <w:spacing w:after="0"/>
        <w:ind w:hanging="357"/>
        <w:contextualSpacing w:val="0"/>
        <w:rPr>
          <w:sz w:val="22"/>
          <w:szCs w:val="20"/>
        </w:rPr>
      </w:pPr>
      <w:r w:rsidRPr="007A09E0">
        <w:rPr>
          <w:sz w:val="22"/>
          <w:szCs w:val="20"/>
        </w:rPr>
        <w:t>Over 430,000 people have rheumatoid a</w:t>
      </w:r>
      <w:r w:rsidRPr="001422B9">
        <w:rPr>
          <w:sz w:val="22"/>
        </w:rPr>
        <w:t>rthritis in the UK</w:t>
      </w:r>
      <w:r w:rsidRPr="000429BE">
        <w:rPr>
          <w:sz w:val="22"/>
        </w:rPr>
        <w:t>.</w:t>
      </w:r>
      <w:r w:rsidR="000429BE" w:rsidRPr="000429BE">
        <w:rPr>
          <w:sz w:val="22"/>
        </w:rPr>
        <w:fldChar w:fldCharType="begin"/>
      </w:r>
      <w:r w:rsidR="000429BE" w:rsidRPr="000429BE">
        <w:rPr>
          <w:sz w:val="22"/>
        </w:rPr>
        <w:instrText xml:space="preserve"> NOTEREF _Ref73957626 \f \h </w:instrText>
      </w:r>
      <w:r w:rsidR="000429BE">
        <w:rPr>
          <w:sz w:val="22"/>
        </w:rPr>
        <w:instrText xml:space="preserve"> \* MERGEFORMAT </w:instrText>
      </w:r>
      <w:r w:rsidR="000429BE" w:rsidRPr="000429BE">
        <w:rPr>
          <w:sz w:val="22"/>
        </w:rPr>
      </w:r>
      <w:r w:rsidR="000429BE" w:rsidRPr="000429BE">
        <w:rPr>
          <w:sz w:val="22"/>
        </w:rPr>
        <w:fldChar w:fldCharType="separate"/>
      </w:r>
      <w:r w:rsidR="005D0525" w:rsidRPr="005D0525">
        <w:rPr>
          <w:rStyle w:val="EndnoteReference"/>
          <w:sz w:val="22"/>
        </w:rPr>
        <w:t>3</w:t>
      </w:r>
      <w:r w:rsidR="000429BE" w:rsidRPr="000429BE">
        <w:rPr>
          <w:sz w:val="22"/>
        </w:rPr>
        <w:fldChar w:fldCharType="end"/>
      </w:r>
      <w:r w:rsidRPr="000429BE">
        <w:rPr>
          <w:sz w:val="22"/>
          <w:vertAlign w:val="superscript"/>
        </w:rPr>
        <w:t xml:space="preserve">, </w:t>
      </w:r>
      <w:r w:rsidRPr="000429BE">
        <w:rPr>
          <w:rStyle w:val="EndnoteReference"/>
          <w:sz w:val="22"/>
        </w:rPr>
        <w:endnoteReference w:id="22"/>
      </w:r>
      <w:r w:rsidRPr="007A09E0">
        <w:rPr>
          <w:sz w:val="22"/>
          <w:szCs w:val="20"/>
        </w:rPr>
        <w:t xml:space="preserve"> </w:t>
      </w:r>
    </w:p>
    <w:p w14:paraId="4AF5AED9" w14:textId="70ACD000" w:rsidR="00934198" w:rsidRPr="00856917" w:rsidRDefault="00934198" w:rsidP="00D317E8">
      <w:pPr>
        <w:pStyle w:val="ListParagraph"/>
        <w:numPr>
          <w:ilvl w:val="0"/>
          <w:numId w:val="3"/>
        </w:numPr>
        <w:spacing w:after="120"/>
        <w:ind w:left="714" w:hanging="357"/>
        <w:contextualSpacing w:val="0"/>
        <w:rPr>
          <w:sz w:val="22"/>
          <w:szCs w:val="20"/>
        </w:rPr>
      </w:pPr>
      <w:r w:rsidRPr="007A09E0">
        <w:rPr>
          <w:sz w:val="22"/>
          <w:szCs w:val="20"/>
        </w:rPr>
        <w:t xml:space="preserve">Rheumatoid arthritis is </w:t>
      </w:r>
      <w:r w:rsidRPr="00856917">
        <w:rPr>
          <w:sz w:val="22"/>
          <w:szCs w:val="20"/>
        </w:rPr>
        <w:t xml:space="preserve">two to three times more common among women than men. </w:t>
      </w:r>
      <w:r w:rsidRPr="00856917">
        <w:rPr>
          <w:rStyle w:val="EndnoteReference"/>
          <w:sz w:val="22"/>
          <w:szCs w:val="20"/>
        </w:rPr>
        <w:endnoteReference w:id="23"/>
      </w:r>
      <w:r w:rsidR="000429BE" w:rsidRPr="00856917">
        <w:rPr>
          <w:sz w:val="22"/>
          <w:szCs w:val="20"/>
          <w:vertAlign w:val="superscript"/>
        </w:rPr>
        <w:t>,</w:t>
      </w:r>
      <w:r w:rsidRPr="00856917">
        <w:rPr>
          <w:sz w:val="22"/>
          <w:szCs w:val="20"/>
        </w:rPr>
        <w:t xml:space="preserve"> </w:t>
      </w:r>
      <w:r w:rsidRPr="00856917">
        <w:rPr>
          <w:rStyle w:val="EndnoteReference"/>
          <w:sz w:val="22"/>
          <w:szCs w:val="20"/>
        </w:rPr>
        <w:endnoteReference w:id="24"/>
      </w:r>
      <w:r w:rsidR="000429BE" w:rsidRPr="00856917">
        <w:rPr>
          <w:sz w:val="22"/>
          <w:szCs w:val="20"/>
          <w:vertAlign w:val="superscript"/>
        </w:rPr>
        <w:t>,</w:t>
      </w:r>
      <w:r w:rsidRPr="00856917">
        <w:rPr>
          <w:sz w:val="22"/>
          <w:szCs w:val="20"/>
        </w:rPr>
        <w:t xml:space="preserve"> </w:t>
      </w:r>
      <w:r w:rsidRPr="00856917">
        <w:rPr>
          <w:rStyle w:val="EndnoteReference"/>
          <w:sz w:val="22"/>
          <w:szCs w:val="20"/>
        </w:rPr>
        <w:endnoteReference w:id="25"/>
      </w:r>
    </w:p>
    <w:p w14:paraId="4E4184C9" w14:textId="77777777" w:rsidR="00934198" w:rsidRPr="00FC5D61" w:rsidRDefault="00934198" w:rsidP="00934198">
      <w:pPr>
        <w:pStyle w:val="ListParagraph"/>
        <w:numPr>
          <w:ilvl w:val="0"/>
          <w:numId w:val="15"/>
        </w:numPr>
        <w:spacing w:after="0"/>
        <w:ind w:left="357" w:hanging="357"/>
        <w:contextualSpacing w:val="0"/>
        <w:rPr>
          <w:b/>
          <w:sz w:val="22"/>
        </w:rPr>
      </w:pPr>
      <w:r w:rsidRPr="00274A1C">
        <w:rPr>
          <w:b/>
          <w:sz w:val="22"/>
        </w:rPr>
        <w:t>Osteoarthritis</w:t>
      </w:r>
    </w:p>
    <w:p w14:paraId="12013720" w14:textId="77777777" w:rsidR="005241F4" w:rsidRDefault="00934198" w:rsidP="005241F4">
      <w:pPr>
        <w:pStyle w:val="ListParagraph"/>
        <w:numPr>
          <w:ilvl w:val="0"/>
          <w:numId w:val="4"/>
        </w:numPr>
        <w:spacing w:after="0"/>
        <w:ind w:left="714" w:hanging="357"/>
        <w:contextualSpacing w:val="0"/>
        <w:rPr>
          <w:sz w:val="22"/>
          <w:szCs w:val="20"/>
        </w:rPr>
      </w:pPr>
      <w:r w:rsidRPr="007A09E0">
        <w:rPr>
          <w:sz w:val="22"/>
          <w:szCs w:val="20"/>
        </w:rPr>
        <w:t xml:space="preserve">Over 8.75 million people aged 45 and over have sought treatment for osteoarthritis in the UK. </w:t>
      </w:r>
      <w:r w:rsidRPr="007A09E0">
        <w:rPr>
          <w:rStyle w:val="EndnoteReference"/>
          <w:sz w:val="22"/>
          <w:szCs w:val="20"/>
        </w:rPr>
        <w:endnoteReference w:id="26"/>
      </w:r>
      <w:r w:rsidRPr="007A09E0">
        <w:rPr>
          <w:sz w:val="22"/>
          <w:szCs w:val="20"/>
        </w:rPr>
        <w:t xml:space="preserve"> </w:t>
      </w:r>
    </w:p>
    <w:p w14:paraId="2819931A" w14:textId="4BF170A8" w:rsidR="00934198" w:rsidRPr="000917F2" w:rsidRDefault="00934198" w:rsidP="005241F4">
      <w:pPr>
        <w:pStyle w:val="ListParagraph"/>
        <w:numPr>
          <w:ilvl w:val="0"/>
          <w:numId w:val="4"/>
        </w:numPr>
        <w:spacing w:after="0"/>
        <w:ind w:left="714" w:hanging="357"/>
        <w:contextualSpacing w:val="0"/>
        <w:rPr>
          <w:sz w:val="22"/>
        </w:rPr>
      </w:pPr>
      <w:r w:rsidRPr="005241F4">
        <w:rPr>
          <w:sz w:val="22"/>
          <w:szCs w:val="20"/>
        </w:rPr>
        <w:t xml:space="preserve">The prevalence of osteoarthritis is </w:t>
      </w:r>
      <w:r w:rsidRPr="000917F2">
        <w:rPr>
          <w:sz w:val="22"/>
        </w:rPr>
        <w:t>generally higher in women than men.</w:t>
      </w:r>
      <w:r w:rsidR="000917F2" w:rsidRPr="000917F2">
        <w:rPr>
          <w:sz w:val="22"/>
        </w:rPr>
        <w:fldChar w:fldCharType="begin"/>
      </w:r>
      <w:r w:rsidR="000917F2" w:rsidRPr="000917F2">
        <w:rPr>
          <w:sz w:val="22"/>
        </w:rPr>
        <w:instrText xml:space="preserve"> NOTEREF _Ref73957626 \f \h </w:instrText>
      </w:r>
      <w:r w:rsidR="000917F2">
        <w:rPr>
          <w:sz w:val="22"/>
        </w:rPr>
        <w:instrText xml:space="preserve"> \* MERGEFORMAT </w:instrText>
      </w:r>
      <w:r w:rsidR="000917F2" w:rsidRPr="000917F2">
        <w:rPr>
          <w:sz w:val="22"/>
        </w:rPr>
      </w:r>
      <w:r w:rsidR="000917F2" w:rsidRPr="000917F2">
        <w:rPr>
          <w:sz w:val="22"/>
        </w:rPr>
        <w:fldChar w:fldCharType="separate"/>
      </w:r>
      <w:r w:rsidR="005D0525" w:rsidRPr="005D0525">
        <w:rPr>
          <w:rStyle w:val="EndnoteReference"/>
          <w:sz w:val="22"/>
        </w:rPr>
        <w:t>3</w:t>
      </w:r>
      <w:r w:rsidR="000917F2" w:rsidRPr="000917F2">
        <w:rPr>
          <w:sz w:val="22"/>
        </w:rPr>
        <w:fldChar w:fldCharType="end"/>
      </w:r>
      <w:r w:rsidRPr="000917F2">
        <w:rPr>
          <w:sz w:val="22"/>
        </w:rPr>
        <w:t xml:space="preserve"> The difference is most apparent for hand and knee osteoarthritis and among people over 50 years of age</w:t>
      </w:r>
      <w:r w:rsidR="005241F4" w:rsidRPr="000917F2">
        <w:rPr>
          <w:sz w:val="22"/>
        </w:rPr>
        <w:t>.</w:t>
      </w:r>
      <w:r w:rsidRPr="000917F2">
        <w:rPr>
          <w:rStyle w:val="EndnoteReference"/>
          <w:sz w:val="22"/>
        </w:rPr>
        <w:endnoteReference w:id="27"/>
      </w:r>
    </w:p>
    <w:p w14:paraId="782D17F8" w14:textId="2806F90D" w:rsidR="00934198" w:rsidRPr="000917F2" w:rsidRDefault="00934198" w:rsidP="000B32A6">
      <w:pPr>
        <w:pStyle w:val="ListParagraph"/>
        <w:numPr>
          <w:ilvl w:val="0"/>
          <w:numId w:val="4"/>
        </w:numPr>
        <w:spacing w:after="120"/>
        <w:ind w:left="714" w:hanging="357"/>
        <w:contextualSpacing w:val="0"/>
        <w:rPr>
          <w:sz w:val="22"/>
        </w:rPr>
      </w:pPr>
      <w:r w:rsidRPr="000917F2">
        <w:rPr>
          <w:sz w:val="22"/>
        </w:rPr>
        <w:t xml:space="preserve">Women account for roughly 60% of hip and knee replacement operations in the UK, over 90% of which are due to osteoarthritis. </w:t>
      </w:r>
      <w:r w:rsidRPr="000917F2">
        <w:rPr>
          <w:rStyle w:val="EndnoteReference"/>
          <w:sz w:val="22"/>
        </w:rPr>
        <w:endnoteReference w:id="28"/>
      </w:r>
      <w:r w:rsidR="006F6718" w:rsidRPr="000917F2">
        <w:rPr>
          <w:sz w:val="22"/>
          <w:vertAlign w:val="superscript"/>
        </w:rPr>
        <w:t xml:space="preserve">, </w:t>
      </w:r>
      <w:r w:rsidRPr="000917F2">
        <w:rPr>
          <w:rStyle w:val="EndnoteReference"/>
          <w:sz w:val="22"/>
        </w:rPr>
        <w:endnoteReference w:id="29"/>
      </w:r>
    </w:p>
    <w:p w14:paraId="74FD88E4" w14:textId="6A92030B" w:rsidR="00934198" w:rsidRPr="000917F2" w:rsidRDefault="00934198" w:rsidP="00415142">
      <w:pPr>
        <w:pStyle w:val="ListParagraph"/>
        <w:numPr>
          <w:ilvl w:val="0"/>
          <w:numId w:val="15"/>
        </w:numPr>
        <w:spacing w:after="0"/>
        <w:ind w:left="357" w:hanging="357"/>
        <w:contextualSpacing w:val="0"/>
        <w:rPr>
          <w:b/>
          <w:sz w:val="22"/>
        </w:rPr>
      </w:pPr>
      <w:r w:rsidRPr="000917F2">
        <w:rPr>
          <w:b/>
          <w:sz w:val="22"/>
        </w:rPr>
        <w:t xml:space="preserve">Low </w:t>
      </w:r>
      <w:r w:rsidR="00711BB2" w:rsidRPr="000917F2">
        <w:rPr>
          <w:b/>
          <w:sz w:val="22"/>
        </w:rPr>
        <w:t>b</w:t>
      </w:r>
      <w:r w:rsidRPr="000917F2">
        <w:rPr>
          <w:b/>
          <w:sz w:val="22"/>
        </w:rPr>
        <w:t>ack pain</w:t>
      </w:r>
    </w:p>
    <w:p w14:paraId="3D798026" w14:textId="0F5C8115" w:rsidR="00934198" w:rsidRPr="000917F2" w:rsidRDefault="00934198" w:rsidP="008A06D8">
      <w:pPr>
        <w:pStyle w:val="ListParagraph"/>
        <w:numPr>
          <w:ilvl w:val="0"/>
          <w:numId w:val="4"/>
        </w:numPr>
        <w:spacing w:after="0"/>
        <w:contextualSpacing w:val="0"/>
        <w:rPr>
          <w:sz w:val="22"/>
        </w:rPr>
      </w:pPr>
      <w:r w:rsidRPr="000917F2">
        <w:rPr>
          <w:sz w:val="22"/>
        </w:rPr>
        <w:t xml:space="preserve">Around 10 million people in the UK have persistent back pain, affecting around one third of the UK adult population. </w:t>
      </w:r>
      <w:r w:rsidR="000917F2" w:rsidRPr="000917F2">
        <w:rPr>
          <w:sz w:val="22"/>
        </w:rPr>
        <w:fldChar w:fldCharType="begin"/>
      </w:r>
      <w:r w:rsidR="000917F2" w:rsidRPr="000917F2">
        <w:rPr>
          <w:sz w:val="22"/>
        </w:rPr>
        <w:instrText xml:space="preserve"> NOTEREF _Ref73957626 \f \h </w:instrText>
      </w:r>
      <w:r w:rsidR="000917F2">
        <w:rPr>
          <w:sz w:val="22"/>
        </w:rPr>
        <w:instrText xml:space="preserve"> \* MERGEFORMAT </w:instrText>
      </w:r>
      <w:r w:rsidR="000917F2" w:rsidRPr="000917F2">
        <w:rPr>
          <w:sz w:val="22"/>
        </w:rPr>
      </w:r>
      <w:r w:rsidR="000917F2" w:rsidRPr="000917F2">
        <w:rPr>
          <w:sz w:val="22"/>
        </w:rPr>
        <w:fldChar w:fldCharType="separate"/>
      </w:r>
      <w:r w:rsidR="005D0525" w:rsidRPr="005D0525">
        <w:rPr>
          <w:rStyle w:val="EndnoteReference"/>
          <w:sz w:val="22"/>
        </w:rPr>
        <w:t>3</w:t>
      </w:r>
      <w:r w:rsidR="000917F2" w:rsidRPr="000917F2">
        <w:rPr>
          <w:sz w:val="22"/>
        </w:rPr>
        <w:fldChar w:fldCharType="end"/>
      </w:r>
    </w:p>
    <w:p w14:paraId="79360C3D" w14:textId="54CFF208" w:rsidR="00934198" w:rsidRDefault="00934198" w:rsidP="008A06D8">
      <w:pPr>
        <w:pStyle w:val="ListParagraph"/>
        <w:numPr>
          <w:ilvl w:val="0"/>
          <w:numId w:val="4"/>
        </w:numPr>
        <w:spacing w:after="0"/>
        <w:ind w:left="714" w:hanging="357"/>
        <w:contextualSpacing w:val="0"/>
        <w:rPr>
          <w:sz w:val="22"/>
          <w:szCs w:val="20"/>
        </w:rPr>
      </w:pPr>
      <w:r w:rsidRPr="000917F2">
        <w:rPr>
          <w:sz w:val="22"/>
        </w:rPr>
        <w:t>Research studies show low back pain</w:t>
      </w:r>
      <w:r w:rsidRPr="00FE6BB0">
        <w:rPr>
          <w:sz w:val="22"/>
        </w:rPr>
        <w:t xml:space="preserve"> has</w:t>
      </w:r>
      <w:r w:rsidRPr="007A09E0">
        <w:rPr>
          <w:sz w:val="22"/>
          <w:szCs w:val="20"/>
        </w:rPr>
        <w:t xml:space="preserve"> consistently been reported in a higher proportion of females than males across all age groups</w:t>
      </w:r>
      <w:r w:rsidR="005237FA">
        <w:rPr>
          <w:sz w:val="22"/>
          <w:szCs w:val="20"/>
        </w:rPr>
        <w:t xml:space="preserve"> </w:t>
      </w:r>
      <w:r w:rsidR="005237FA">
        <w:rPr>
          <w:rStyle w:val="EndnoteReference"/>
          <w:sz w:val="22"/>
          <w:szCs w:val="20"/>
        </w:rPr>
        <w:endnoteReference w:id="30"/>
      </w:r>
      <w:r w:rsidR="00FD4741">
        <w:rPr>
          <w:sz w:val="22"/>
          <w:szCs w:val="20"/>
        </w:rPr>
        <w:t>, with the</w:t>
      </w:r>
      <w:r w:rsidRPr="007A09E0">
        <w:rPr>
          <w:sz w:val="22"/>
          <w:szCs w:val="20"/>
        </w:rPr>
        <w:t xml:space="preserve"> difference</w:t>
      </w:r>
      <w:r w:rsidR="00527DA6">
        <w:rPr>
          <w:sz w:val="22"/>
          <w:szCs w:val="20"/>
        </w:rPr>
        <w:t xml:space="preserve"> </w:t>
      </w:r>
      <w:r w:rsidR="00FD4741">
        <w:rPr>
          <w:sz w:val="22"/>
          <w:szCs w:val="20"/>
        </w:rPr>
        <w:t>being</w:t>
      </w:r>
      <w:r w:rsidR="00527DA6">
        <w:rPr>
          <w:sz w:val="22"/>
          <w:szCs w:val="20"/>
        </w:rPr>
        <w:t xml:space="preserve"> shown </w:t>
      </w:r>
      <w:r w:rsidR="001D4A95">
        <w:rPr>
          <w:sz w:val="22"/>
          <w:szCs w:val="20"/>
        </w:rPr>
        <w:t>in some research</w:t>
      </w:r>
      <w:r w:rsidR="001D4A95" w:rsidRPr="007A09E0">
        <w:rPr>
          <w:sz w:val="22"/>
          <w:szCs w:val="20"/>
        </w:rPr>
        <w:t xml:space="preserve"> </w:t>
      </w:r>
      <w:r w:rsidR="001D4A95">
        <w:rPr>
          <w:sz w:val="22"/>
          <w:szCs w:val="20"/>
        </w:rPr>
        <w:t xml:space="preserve">to </w:t>
      </w:r>
      <w:r w:rsidR="00527DA6">
        <w:rPr>
          <w:sz w:val="22"/>
          <w:szCs w:val="20"/>
        </w:rPr>
        <w:t>be</w:t>
      </w:r>
      <w:r w:rsidRPr="007A09E0">
        <w:rPr>
          <w:sz w:val="22"/>
          <w:szCs w:val="20"/>
        </w:rPr>
        <w:t xml:space="preserve"> </w:t>
      </w:r>
      <w:r w:rsidR="005345DF">
        <w:rPr>
          <w:sz w:val="22"/>
          <w:szCs w:val="20"/>
        </w:rPr>
        <w:t>greatest amongst</w:t>
      </w:r>
      <w:r w:rsidRPr="007A09E0">
        <w:rPr>
          <w:sz w:val="22"/>
          <w:szCs w:val="20"/>
        </w:rPr>
        <w:t xml:space="preserve"> </w:t>
      </w:r>
      <w:r w:rsidRPr="005345DF">
        <w:rPr>
          <w:sz w:val="22"/>
        </w:rPr>
        <w:t>school age</w:t>
      </w:r>
      <w:r w:rsidR="00B50A9E" w:rsidRPr="005345DF">
        <w:rPr>
          <w:sz w:val="22"/>
        </w:rPr>
        <w:t>d</w:t>
      </w:r>
      <w:r w:rsidRPr="005345DF">
        <w:rPr>
          <w:sz w:val="22"/>
        </w:rPr>
        <w:t xml:space="preserve"> children</w:t>
      </w:r>
      <w:r w:rsidR="005345DF" w:rsidRPr="005345DF">
        <w:rPr>
          <w:sz w:val="22"/>
        </w:rPr>
        <w:t xml:space="preserve"> (</w:t>
      </w:r>
      <w:r w:rsidR="005345DF" w:rsidRPr="005345DF">
        <w:rPr>
          <w:color w:val="000000"/>
          <w:sz w:val="22"/>
          <w:shd w:val="clear" w:color="auto" w:fill="FFFFFF"/>
        </w:rPr>
        <w:t>6–19 years old)</w:t>
      </w:r>
      <w:r w:rsidRPr="005345DF">
        <w:rPr>
          <w:sz w:val="22"/>
        </w:rPr>
        <w:t>.</w:t>
      </w:r>
      <w:bookmarkStart w:id="8" w:name="_Ref73959748"/>
      <w:r w:rsidRPr="005345DF">
        <w:rPr>
          <w:rStyle w:val="EndnoteReference"/>
          <w:sz w:val="22"/>
        </w:rPr>
        <w:endnoteReference w:id="31"/>
      </w:r>
      <w:bookmarkEnd w:id="8"/>
      <w:r w:rsidR="00FC1686">
        <w:rPr>
          <w:sz w:val="22"/>
          <w:szCs w:val="20"/>
        </w:rPr>
        <w:t xml:space="preserve"> In</w:t>
      </w:r>
      <w:r w:rsidRPr="007A09E0">
        <w:rPr>
          <w:sz w:val="22"/>
          <w:szCs w:val="20"/>
        </w:rPr>
        <w:t xml:space="preserve"> </w:t>
      </w:r>
      <w:r w:rsidR="007A7EF6">
        <w:rPr>
          <w:sz w:val="22"/>
          <w:szCs w:val="20"/>
        </w:rPr>
        <w:t>c</w:t>
      </w:r>
      <w:r w:rsidRPr="007A09E0">
        <w:rPr>
          <w:sz w:val="22"/>
          <w:szCs w:val="20"/>
        </w:rPr>
        <w:t>ompar</w:t>
      </w:r>
      <w:r w:rsidR="007A7EF6">
        <w:rPr>
          <w:sz w:val="22"/>
          <w:szCs w:val="20"/>
        </w:rPr>
        <w:t xml:space="preserve">ison to </w:t>
      </w:r>
      <w:r w:rsidR="00CB0D34">
        <w:rPr>
          <w:sz w:val="22"/>
          <w:szCs w:val="20"/>
        </w:rPr>
        <w:t xml:space="preserve">younger </w:t>
      </w:r>
      <w:r w:rsidR="002B2FF0">
        <w:rPr>
          <w:sz w:val="22"/>
          <w:szCs w:val="20"/>
        </w:rPr>
        <w:t xml:space="preserve">and </w:t>
      </w:r>
      <w:r w:rsidR="00CE0BF5" w:rsidRPr="007A09E0">
        <w:rPr>
          <w:sz w:val="22"/>
          <w:szCs w:val="20"/>
        </w:rPr>
        <w:t>middle-aged</w:t>
      </w:r>
      <w:r w:rsidRPr="007A09E0">
        <w:rPr>
          <w:sz w:val="22"/>
          <w:szCs w:val="20"/>
        </w:rPr>
        <w:t xml:space="preserve"> </w:t>
      </w:r>
      <w:r w:rsidR="007D0FDA">
        <w:rPr>
          <w:sz w:val="22"/>
          <w:szCs w:val="20"/>
        </w:rPr>
        <w:t xml:space="preserve">adults </w:t>
      </w:r>
      <w:r w:rsidR="00055879">
        <w:rPr>
          <w:sz w:val="22"/>
          <w:szCs w:val="20"/>
        </w:rPr>
        <w:t>(20-50 years old)</w:t>
      </w:r>
      <w:r w:rsidRPr="007A09E0">
        <w:rPr>
          <w:sz w:val="22"/>
          <w:szCs w:val="20"/>
        </w:rPr>
        <w:t xml:space="preserve">, </w:t>
      </w:r>
      <w:r w:rsidRPr="005237FA">
        <w:rPr>
          <w:sz w:val="22"/>
        </w:rPr>
        <w:t>a further</w:t>
      </w:r>
      <w:r w:rsidR="009A3567">
        <w:rPr>
          <w:sz w:val="22"/>
        </w:rPr>
        <w:t xml:space="preserve"> increase in the prevalence g</w:t>
      </w:r>
      <w:r w:rsidR="001D4A95">
        <w:rPr>
          <w:sz w:val="22"/>
        </w:rPr>
        <w:t xml:space="preserve">ap </w:t>
      </w:r>
      <w:r w:rsidR="009A3567">
        <w:rPr>
          <w:sz w:val="22"/>
        </w:rPr>
        <w:t xml:space="preserve">between females and males </w:t>
      </w:r>
      <w:r w:rsidR="001D4A95">
        <w:rPr>
          <w:sz w:val="22"/>
        </w:rPr>
        <w:t xml:space="preserve">for low back pain </w:t>
      </w:r>
      <w:r w:rsidR="009A3567">
        <w:rPr>
          <w:sz w:val="22"/>
        </w:rPr>
        <w:t xml:space="preserve">is seen </w:t>
      </w:r>
      <w:r w:rsidR="001D4A95">
        <w:rPr>
          <w:sz w:val="22"/>
        </w:rPr>
        <w:t xml:space="preserve">after menopause age </w:t>
      </w:r>
      <w:r w:rsidRPr="0000128D">
        <w:rPr>
          <w:sz w:val="22"/>
        </w:rPr>
        <w:t>(</w:t>
      </w:r>
      <w:r w:rsidR="00055879">
        <w:rPr>
          <w:sz w:val="22"/>
        </w:rPr>
        <w:t xml:space="preserve">over </w:t>
      </w:r>
      <w:r w:rsidRPr="0000128D">
        <w:rPr>
          <w:sz w:val="22"/>
        </w:rPr>
        <w:t>55</w:t>
      </w:r>
      <w:r w:rsidR="00055879">
        <w:rPr>
          <w:sz w:val="22"/>
        </w:rPr>
        <w:t xml:space="preserve"> years old</w:t>
      </w:r>
      <w:r w:rsidR="009C7359" w:rsidRPr="0000128D">
        <w:rPr>
          <w:sz w:val="22"/>
        </w:rPr>
        <w:t>).</w:t>
      </w:r>
      <w:r w:rsidR="00CE0BF5" w:rsidRPr="00CE0BF5">
        <w:rPr>
          <w:sz w:val="22"/>
        </w:rPr>
        <w:fldChar w:fldCharType="begin"/>
      </w:r>
      <w:r w:rsidR="00CE0BF5" w:rsidRPr="00CE0BF5">
        <w:rPr>
          <w:sz w:val="22"/>
        </w:rPr>
        <w:instrText xml:space="preserve"> NOTEREF _Ref73959748 \f \h </w:instrText>
      </w:r>
      <w:r w:rsidR="00CE0BF5">
        <w:rPr>
          <w:sz w:val="22"/>
        </w:rPr>
        <w:instrText xml:space="preserve"> \* MERGEFORMAT </w:instrText>
      </w:r>
      <w:r w:rsidR="00CE0BF5" w:rsidRPr="00CE0BF5">
        <w:rPr>
          <w:sz w:val="22"/>
        </w:rPr>
      </w:r>
      <w:r w:rsidR="00CE0BF5" w:rsidRPr="00CE0BF5">
        <w:rPr>
          <w:sz w:val="22"/>
        </w:rPr>
        <w:fldChar w:fldCharType="separate"/>
      </w:r>
      <w:r w:rsidR="005D0525" w:rsidRPr="005D0525">
        <w:rPr>
          <w:rStyle w:val="EndnoteReference"/>
          <w:sz w:val="22"/>
        </w:rPr>
        <w:t>30</w:t>
      </w:r>
      <w:r w:rsidR="00CE0BF5" w:rsidRPr="00CE0BF5">
        <w:rPr>
          <w:sz w:val="22"/>
        </w:rPr>
        <w:fldChar w:fldCharType="end"/>
      </w:r>
      <w:r w:rsidR="00993D50" w:rsidRPr="00CE0BF5">
        <w:rPr>
          <w:sz w:val="22"/>
        </w:rPr>
        <w:t xml:space="preserve"> </w:t>
      </w:r>
    </w:p>
    <w:p w14:paraId="159BC26C" w14:textId="681B2B44" w:rsidR="003D34C1" w:rsidRPr="00950F19" w:rsidRDefault="008B423F" w:rsidP="00950F19">
      <w:pPr>
        <w:pStyle w:val="ListParagraph"/>
        <w:numPr>
          <w:ilvl w:val="0"/>
          <w:numId w:val="4"/>
        </w:numPr>
        <w:spacing w:after="120"/>
        <w:ind w:left="714" w:hanging="357"/>
        <w:contextualSpacing w:val="0"/>
        <w:rPr>
          <w:sz w:val="22"/>
        </w:rPr>
      </w:pPr>
      <w:r w:rsidRPr="003E3FE6">
        <w:rPr>
          <w:sz w:val="22"/>
        </w:rPr>
        <w:t xml:space="preserve">Research also suggests that </w:t>
      </w:r>
      <w:r w:rsidR="008C2EBB" w:rsidRPr="003E3FE6">
        <w:rPr>
          <w:sz w:val="22"/>
        </w:rPr>
        <w:t xml:space="preserve">women are more severely affected by low back pain; on </w:t>
      </w:r>
      <w:r w:rsidR="00F335AE" w:rsidRPr="003E3FE6">
        <w:rPr>
          <w:sz w:val="22"/>
        </w:rPr>
        <w:t>average</w:t>
      </w:r>
      <w:r w:rsidR="0099351E">
        <w:rPr>
          <w:sz w:val="22"/>
        </w:rPr>
        <w:t xml:space="preserve"> they</w:t>
      </w:r>
      <w:r w:rsidR="00F335AE" w:rsidRPr="003E3FE6">
        <w:rPr>
          <w:sz w:val="22"/>
        </w:rPr>
        <w:t xml:space="preserve"> have low</w:t>
      </w:r>
      <w:r w:rsidR="00652B3D" w:rsidRPr="003E3FE6">
        <w:rPr>
          <w:sz w:val="22"/>
        </w:rPr>
        <w:t>er</w:t>
      </w:r>
      <w:r w:rsidR="00F335AE" w:rsidRPr="003E3FE6">
        <w:rPr>
          <w:sz w:val="22"/>
        </w:rPr>
        <w:t xml:space="preserve"> functional capacity</w:t>
      </w:r>
      <w:r w:rsidR="003E3FE6" w:rsidRPr="003E3FE6">
        <w:rPr>
          <w:sz w:val="22"/>
        </w:rPr>
        <w:t xml:space="preserve"> and a</w:t>
      </w:r>
      <w:r w:rsidR="00F335AE" w:rsidRPr="003E3FE6">
        <w:rPr>
          <w:sz w:val="22"/>
        </w:rPr>
        <w:t>re more like</w:t>
      </w:r>
      <w:r w:rsidR="00B90F9B">
        <w:rPr>
          <w:sz w:val="22"/>
        </w:rPr>
        <w:t>ly to</w:t>
      </w:r>
      <w:r w:rsidR="00F335AE" w:rsidRPr="003E3FE6">
        <w:rPr>
          <w:sz w:val="22"/>
        </w:rPr>
        <w:t xml:space="preserve"> have recurrent or chronic pain</w:t>
      </w:r>
      <w:r w:rsidR="003E3FE6" w:rsidRPr="003E3FE6">
        <w:rPr>
          <w:sz w:val="22"/>
        </w:rPr>
        <w:t>.</w:t>
      </w:r>
      <w:r w:rsidR="003E3FE6">
        <w:rPr>
          <w:rStyle w:val="EndnoteReference"/>
          <w:sz w:val="22"/>
        </w:rPr>
        <w:endnoteReference w:id="32"/>
      </w:r>
    </w:p>
    <w:p w14:paraId="29808995" w14:textId="77777777" w:rsidR="00934198" w:rsidRPr="00450839" w:rsidRDefault="00934198" w:rsidP="00934198">
      <w:pPr>
        <w:pStyle w:val="ListParagraph"/>
        <w:numPr>
          <w:ilvl w:val="0"/>
          <w:numId w:val="15"/>
        </w:numPr>
        <w:spacing w:after="0"/>
        <w:rPr>
          <w:b/>
          <w:bCs/>
          <w:sz w:val="22"/>
        </w:rPr>
      </w:pPr>
      <w:r w:rsidRPr="00450839">
        <w:rPr>
          <w:b/>
          <w:bCs/>
          <w:sz w:val="22"/>
        </w:rPr>
        <w:t>Fibromyalgia</w:t>
      </w:r>
    </w:p>
    <w:p w14:paraId="432AD1B3" w14:textId="77777777" w:rsidR="00934198" w:rsidRPr="007A09E0" w:rsidRDefault="00934198" w:rsidP="00934198">
      <w:pPr>
        <w:pStyle w:val="ListParagraph"/>
        <w:numPr>
          <w:ilvl w:val="0"/>
          <w:numId w:val="5"/>
        </w:numPr>
        <w:spacing w:after="0"/>
        <w:contextualSpacing w:val="0"/>
        <w:rPr>
          <w:sz w:val="22"/>
          <w:szCs w:val="20"/>
        </w:rPr>
      </w:pPr>
      <w:r w:rsidRPr="007A09E0">
        <w:rPr>
          <w:sz w:val="22"/>
          <w:szCs w:val="20"/>
        </w:rPr>
        <w:t>Between 1.7 to 2.8 million adults have fibromyalgia in the UK.</w:t>
      </w:r>
      <w:r w:rsidRPr="007A09E0">
        <w:rPr>
          <w:rStyle w:val="EndnoteReference"/>
          <w:sz w:val="22"/>
          <w:szCs w:val="20"/>
        </w:rPr>
        <w:endnoteReference w:id="33"/>
      </w:r>
    </w:p>
    <w:p w14:paraId="5CBB9F2F" w14:textId="77777777" w:rsidR="00934198" w:rsidRDefault="00934198" w:rsidP="00934198">
      <w:pPr>
        <w:pStyle w:val="ListParagraph"/>
        <w:numPr>
          <w:ilvl w:val="0"/>
          <w:numId w:val="5"/>
        </w:numPr>
        <w:spacing w:after="0"/>
        <w:ind w:left="714" w:hanging="357"/>
        <w:contextualSpacing w:val="0"/>
        <w:rPr>
          <w:sz w:val="22"/>
          <w:szCs w:val="20"/>
        </w:rPr>
      </w:pPr>
      <w:r w:rsidRPr="007A09E0">
        <w:rPr>
          <w:sz w:val="22"/>
          <w:szCs w:val="20"/>
        </w:rPr>
        <w:t>Fibromyalgia is more common in women than in men at every age.</w:t>
      </w:r>
      <w:r w:rsidRPr="007A09E0">
        <w:rPr>
          <w:rStyle w:val="EndnoteReference"/>
          <w:sz w:val="22"/>
          <w:szCs w:val="20"/>
        </w:rPr>
        <w:endnoteReference w:id="34"/>
      </w:r>
      <w:r w:rsidRPr="007A09E0">
        <w:rPr>
          <w:sz w:val="22"/>
          <w:szCs w:val="20"/>
        </w:rPr>
        <w:t xml:space="preserve"> </w:t>
      </w:r>
    </w:p>
    <w:p w14:paraId="24D6C224" w14:textId="4A905394" w:rsidR="00934198" w:rsidRPr="002962A2" w:rsidRDefault="00934198" w:rsidP="00950F19">
      <w:pPr>
        <w:pStyle w:val="ListParagraph"/>
        <w:numPr>
          <w:ilvl w:val="0"/>
          <w:numId w:val="5"/>
        </w:numPr>
        <w:spacing w:after="120"/>
        <w:ind w:left="714" w:hanging="357"/>
        <w:contextualSpacing w:val="0"/>
        <w:rPr>
          <w:sz w:val="22"/>
          <w:szCs w:val="20"/>
        </w:rPr>
      </w:pPr>
      <w:r>
        <w:rPr>
          <w:sz w:val="22"/>
          <w:szCs w:val="20"/>
        </w:rPr>
        <w:t>Fibromyalgia symptoms also tend to be more intens</w:t>
      </w:r>
      <w:r w:rsidR="005D42F6">
        <w:rPr>
          <w:sz w:val="22"/>
          <w:szCs w:val="20"/>
        </w:rPr>
        <w:t>e</w:t>
      </w:r>
      <w:r>
        <w:rPr>
          <w:sz w:val="22"/>
          <w:szCs w:val="20"/>
        </w:rPr>
        <w:t xml:space="preserve"> in women, who generally report higher levels of fatigue, sensitivity, related-</w:t>
      </w:r>
      <w:r w:rsidRPr="00DB34A4">
        <w:rPr>
          <w:sz w:val="22"/>
          <w:szCs w:val="20"/>
        </w:rPr>
        <w:t>irritable bowel syndrome</w:t>
      </w:r>
      <w:r>
        <w:rPr>
          <w:sz w:val="22"/>
          <w:szCs w:val="20"/>
        </w:rPr>
        <w:t>, more widespread pain</w:t>
      </w:r>
      <w:r w:rsidR="00450839">
        <w:rPr>
          <w:sz w:val="22"/>
          <w:szCs w:val="20"/>
        </w:rPr>
        <w:t>,</w:t>
      </w:r>
      <w:r>
        <w:rPr>
          <w:sz w:val="22"/>
          <w:szCs w:val="20"/>
        </w:rPr>
        <w:t xml:space="preserve"> and </w:t>
      </w:r>
      <w:r w:rsidR="00703F2A">
        <w:rPr>
          <w:sz w:val="22"/>
          <w:szCs w:val="20"/>
        </w:rPr>
        <w:t xml:space="preserve">a </w:t>
      </w:r>
      <w:r w:rsidRPr="002962A2">
        <w:rPr>
          <w:sz w:val="22"/>
          <w:szCs w:val="20"/>
        </w:rPr>
        <w:t>greater symptomatic burden.</w:t>
      </w:r>
      <w:r w:rsidRPr="002962A2">
        <w:rPr>
          <w:rStyle w:val="EndnoteReference"/>
          <w:sz w:val="22"/>
          <w:szCs w:val="20"/>
        </w:rPr>
        <w:endnoteReference w:id="35"/>
      </w:r>
    </w:p>
    <w:p w14:paraId="5DE2A06A" w14:textId="66CCA7E4" w:rsidR="00934198" w:rsidRPr="00450839" w:rsidRDefault="00934198" w:rsidP="00934198">
      <w:pPr>
        <w:pStyle w:val="ListParagraph"/>
        <w:numPr>
          <w:ilvl w:val="0"/>
          <w:numId w:val="15"/>
        </w:numPr>
        <w:spacing w:after="0"/>
        <w:rPr>
          <w:b/>
          <w:bCs/>
          <w:sz w:val="22"/>
        </w:rPr>
      </w:pPr>
      <w:r w:rsidRPr="00450839">
        <w:rPr>
          <w:b/>
          <w:bCs/>
          <w:sz w:val="22"/>
        </w:rPr>
        <w:t>Osteoporosis and fragility fractures</w:t>
      </w:r>
    </w:p>
    <w:p w14:paraId="5A30EB55" w14:textId="7D95E942" w:rsidR="00934198" w:rsidRPr="007A09E0" w:rsidRDefault="00934198" w:rsidP="00934198">
      <w:pPr>
        <w:pStyle w:val="ListParagraph"/>
        <w:numPr>
          <w:ilvl w:val="0"/>
          <w:numId w:val="6"/>
        </w:numPr>
        <w:spacing w:after="0"/>
        <w:contextualSpacing w:val="0"/>
        <w:rPr>
          <w:sz w:val="22"/>
          <w:szCs w:val="20"/>
        </w:rPr>
      </w:pPr>
      <w:r w:rsidRPr="007A09E0">
        <w:rPr>
          <w:sz w:val="22"/>
          <w:szCs w:val="20"/>
        </w:rPr>
        <w:t>Each year, almost a third of people aged over 65 years</w:t>
      </w:r>
      <w:r w:rsidR="0030356F">
        <w:rPr>
          <w:sz w:val="22"/>
          <w:szCs w:val="20"/>
        </w:rPr>
        <w:t xml:space="preserve"> old</w:t>
      </w:r>
      <w:r w:rsidRPr="007A09E0">
        <w:rPr>
          <w:sz w:val="22"/>
          <w:szCs w:val="20"/>
        </w:rPr>
        <w:t xml:space="preserve"> fall at least once and there are an estimated 500,000 fragility fractures in the UK.</w:t>
      </w:r>
      <w:r w:rsidRPr="007A09E0">
        <w:rPr>
          <w:rStyle w:val="EndnoteReference"/>
          <w:sz w:val="22"/>
          <w:szCs w:val="20"/>
        </w:rPr>
        <w:endnoteReference w:id="36"/>
      </w:r>
    </w:p>
    <w:p w14:paraId="5E943C59" w14:textId="77777777" w:rsidR="004E5725" w:rsidRDefault="00934198" w:rsidP="002A14CF">
      <w:pPr>
        <w:pStyle w:val="ListParagraph"/>
        <w:numPr>
          <w:ilvl w:val="0"/>
          <w:numId w:val="6"/>
        </w:numPr>
        <w:spacing w:after="120"/>
        <w:ind w:left="782" w:hanging="357"/>
        <w:contextualSpacing w:val="0"/>
        <w:rPr>
          <w:sz w:val="22"/>
        </w:rPr>
      </w:pPr>
      <w:r w:rsidRPr="00C53FAB">
        <w:rPr>
          <w:sz w:val="22"/>
        </w:rPr>
        <w:lastRenderedPageBreak/>
        <w:t>One in two women and one in five men over the age of 50 are expected to break a bone during their lifetime</w:t>
      </w:r>
      <w:r>
        <w:rPr>
          <w:sz w:val="22"/>
        </w:rPr>
        <w:t>.</w:t>
      </w:r>
      <w:r w:rsidRPr="007A09E0">
        <w:rPr>
          <w:rStyle w:val="EndnoteReference"/>
          <w:sz w:val="22"/>
        </w:rPr>
        <w:endnoteReference w:id="37"/>
      </w:r>
      <w:r w:rsidRPr="00C53FAB">
        <w:rPr>
          <w:sz w:val="22"/>
        </w:rPr>
        <w:t xml:space="preserve"> </w:t>
      </w:r>
    </w:p>
    <w:p w14:paraId="7DC749D0" w14:textId="30969570" w:rsidR="007A1C8A" w:rsidRDefault="005417D1" w:rsidP="003D626B">
      <w:pPr>
        <w:spacing w:after="60"/>
        <w:rPr>
          <w:rFonts w:cs="Arial"/>
          <w:b/>
          <w:bCs/>
          <w:sz w:val="22"/>
        </w:rPr>
      </w:pPr>
      <w:r>
        <w:rPr>
          <w:rFonts w:cs="Arial"/>
          <w:b/>
          <w:bCs/>
          <w:sz w:val="22"/>
        </w:rPr>
        <w:t>The l</w:t>
      </w:r>
      <w:r w:rsidR="008C4CAA">
        <w:rPr>
          <w:rFonts w:cs="Arial"/>
          <w:b/>
          <w:bCs/>
          <w:sz w:val="22"/>
        </w:rPr>
        <w:t>ink between c</w:t>
      </w:r>
      <w:r w:rsidR="00250964" w:rsidRPr="007A1C8A">
        <w:rPr>
          <w:rFonts w:cs="Arial"/>
          <w:b/>
          <w:bCs/>
          <w:sz w:val="22"/>
        </w:rPr>
        <w:t xml:space="preserve">hronic pain and </w:t>
      </w:r>
      <w:r w:rsidR="0035035A">
        <w:rPr>
          <w:rFonts w:cs="Arial"/>
          <w:b/>
          <w:bCs/>
          <w:sz w:val="22"/>
        </w:rPr>
        <w:t xml:space="preserve">musculoskeletal </w:t>
      </w:r>
      <w:r w:rsidR="00250964" w:rsidRPr="007A1C8A">
        <w:rPr>
          <w:rFonts w:cs="Arial"/>
          <w:b/>
          <w:bCs/>
          <w:sz w:val="22"/>
        </w:rPr>
        <w:t>condition</w:t>
      </w:r>
      <w:r w:rsidR="0035035A">
        <w:rPr>
          <w:rFonts w:cs="Arial"/>
          <w:b/>
          <w:bCs/>
          <w:sz w:val="22"/>
        </w:rPr>
        <w:t>s</w:t>
      </w:r>
      <w:r w:rsidR="008C4CAA">
        <w:rPr>
          <w:rFonts w:cs="Arial"/>
          <w:b/>
          <w:bCs/>
          <w:sz w:val="22"/>
        </w:rPr>
        <w:t xml:space="preserve"> and the disprop</w:t>
      </w:r>
      <w:r w:rsidR="003D626B">
        <w:rPr>
          <w:rFonts w:cs="Arial"/>
          <w:b/>
          <w:bCs/>
          <w:sz w:val="22"/>
        </w:rPr>
        <w:t>ortionate impact on women</w:t>
      </w:r>
    </w:p>
    <w:p w14:paraId="485BA3F3" w14:textId="32F76CA9" w:rsidR="0054268B" w:rsidRPr="000C0BA6" w:rsidRDefault="004C1449" w:rsidP="007272C2">
      <w:pPr>
        <w:pStyle w:val="ListParagraph"/>
        <w:numPr>
          <w:ilvl w:val="0"/>
          <w:numId w:val="15"/>
        </w:numPr>
        <w:spacing w:after="120"/>
        <w:ind w:left="357" w:hanging="357"/>
        <w:contextualSpacing w:val="0"/>
        <w:rPr>
          <w:b/>
          <w:bCs/>
          <w:sz w:val="22"/>
        </w:rPr>
      </w:pPr>
      <w:r w:rsidRPr="007272C2">
        <w:rPr>
          <w:sz w:val="22"/>
        </w:rPr>
        <w:t>Public Health England’s Chronic Pain researc</w:t>
      </w:r>
      <w:r w:rsidR="001F6521" w:rsidRPr="007272C2">
        <w:rPr>
          <w:sz w:val="22"/>
        </w:rPr>
        <w:t>h report</w:t>
      </w:r>
      <w:r w:rsidRPr="007272C2">
        <w:rPr>
          <w:sz w:val="22"/>
        </w:rPr>
        <w:t>,</w:t>
      </w:r>
      <w:r w:rsidR="001F6521" w:rsidRPr="007272C2">
        <w:rPr>
          <w:sz w:val="22"/>
        </w:rPr>
        <w:t xml:space="preserve"> which analysed </w:t>
      </w:r>
      <w:r w:rsidRPr="007272C2">
        <w:rPr>
          <w:sz w:val="22"/>
        </w:rPr>
        <w:t>th</w:t>
      </w:r>
      <w:r w:rsidR="001F6521" w:rsidRPr="007272C2">
        <w:rPr>
          <w:sz w:val="22"/>
        </w:rPr>
        <w:t>e</w:t>
      </w:r>
      <w:r w:rsidRPr="007272C2">
        <w:rPr>
          <w:sz w:val="22"/>
        </w:rPr>
        <w:t xml:space="preserve"> data from the</w:t>
      </w:r>
      <w:r w:rsidR="001F6521" w:rsidRPr="007272C2">
        <w:rPr>
          <w:sz w:val="22"/>
        </w:rPr>
        <w:t xml:space="preserve"> 2017</w:t>
      </w:r>
      <w:r w:rsidRPr="007272C2">
        <w:rPr>
          <w:sz w:val="22"/>
        </w:rPr>
        <w:t xml:space="preserve"> Health Survey for England</w:t>
      </w:r>
      <w:r w:rsidR="0054268B">
        <w:rPr>
          <w:sz w:val="22"/>
        </w:rPr>
        <w:t>,</w:t>
      </w:r>
      <w:r w:rsidRPr="007272C2">
        <w:rPr>
          <w:sz w:val="22"/>
        </w:rPr>
        <w:t xml:space="preserve"> demonstra</w:t>
      </w:r>
      <w:r w:rsidR="0054268B">
        <w:rPr>
          <w:sz w:val="22"/>
        </w:rPr>
        <w:t>tes</w:t>
      </w:r>
      <w:r w:rsidRPr="007272C2">
        <w:rPr>
          <w:sz w:val="22"/>
        </w:rPr>
        <w:t xml:space="preserve"> </w:t>
      </w:r>
      <w:r w:rsidR="00113AE3" w:rsidRPr="007272C2">
        <w:rPr>
          <w:sz w:val="22"/>
        </w:rPr>
        <w:t xml:space="preserve">the </w:t>
      </w:r>
      <w:r w:rsidR="00D43F85" w:rsidRPr="007272C2">
        <w:rPr>
          <w:sz w:val="22"/>
        </w:rPr>
        <w:t xml:space="preserve">central role </w:t>
      </w:r>
      <w:r w:rsidR="005A1953">
        <w:rPr>
          <w:sz w:val="22"/>
        </w:rPr>
        <w:t xml:space="preserve">that </w:t>
      </w:r>
      <w:r w:rsidR="00D43F85" w:rsidRPr="007272C2">
        <w:rPr>
          <w:sz w:val="22"/>
        </w:rPr>
        <w:t xml:space="preserve">musculoskeletal conditions </w:t>
      </w:r>
      <w:r w:rsidR="00DD29D5" w:rsidRPr="007272C2">
        <w:rPr>
          <w:sz w:val="22"/>
        </w:rPr>
        <w:t xml:space="preserve">play in the development of chronic </w:t>
      </w:r>
      <w:r w:rsidR="00DD29D5" w:rsidRPr="000C0BA6">
        <w:rPr>
          <w:sz w:val="22"/>
        </w:rPr>
        <w:t>pain</w:t>
      </w:r>
      <w:r w:rsidR="005A5D89" w:rsidRPr="000C0BA6">
        <w:rPr>
          <w:sz w:val="22"/>
        </w:rPr>
        <w:t>.</w:t>
      </w:r>
      <w:r w:rsidR="000C0BA6" w:rsidRPr="000C0BA6">
        <w:rPr>
          <w:sz w:val="22"/>
        </w:rPr>
        <w:fldChar w:fldCharType="begin"/>
      </w:r>
      <w:r w:rsidR="000C0BA6" w:rsidRPr="000C0BA6">
        <w:rPr>
          <w:sz w:val="22"/>
        </w:rPr>
        <w:instrText xml:space="preserve"> NOTEREF _Ref74319608 \f \h </w:instrText>
      </w:r>
      <w:r w:rsidR="000C0BA6">
        <w:rPr>
          <w:sz w:val="22"/>
        </w:rPr>
        <w:instrText xml:space="preserve"> \* MERGEFORMAT </w:instrText>
      </w:r>
      <w:r w:rsidR="000C0BA6" w:rsidRPr="000C0BA6">
        <w:rPr>
          <w:sz w:val="22"/>
        </w:rPr>
      </w:r>
      <w:r w:rsidR="000C0BA6" w:rsidRPr="000C0BA6">
        <w:rPr>
          <w:sz w:val="22"/>
        </w:rPr>
        <w:fldChar w:fldCharType="separate"/>
      </w:r>
      <w:r w:rsidR="005D0525" w:rsidRPr="005D0525">
        <w:rPr>
          <w:rStyle w:val="EndnoteReference"/>
          <w:sz w:val="22"/>
        </w:rPr>
        <w:t>6</w:t>
      </w:r>
      <w:r w:rsidR="000C0BA6" w:rsidRPr="000C0BA6">
        <w:rPr>
          <w:sz w:val="22"/>
        </w:rPr>
        <w:fldChar w:fldCharType="end"/>
      </w:r>
    </w:p>
    <w:p w14:paraId="0FFEAFCE" w14:textId="62439B44" w:rsidR="007272C2" w:rsidRPr="005F2C2D" w:rsidRDefault="001A3A0B" w:rsidP="00415142">
      <w:pPr>
        <w:pStyle w:val="ListParagraph"/>
        <w:numPr>
          <w:ilvl w:val="0"/>
          <w:numId w:val="15"/>
        </w:numPr>
        <w:spacing w:after="120"/>
        <w:contextualSpacing w:val="0"/>
        <w:rPr>
          <w:b/>
          <w:bCs/>
          <w:sz w:val="22"/>
        </w:rPr>
      </w:pPr>
      <w:r w:rsidRPr="000C0BA6">
        <w:rPr>
          <w:sz w:val="22"/>
        </w:rPr>
        <w:t>In line with this new data becoming available, Versus Arthritis</w:t>
      </w:r>
      <w:r w:rsidR="00DE6FA8" w:rsidRPr="000C0BA6">
        <w:rPr>
          <w:sz w:val="22"/>
        </w:rPr>
        <w:t xml:space="preserve"> has published </w:t>
      </w:r>
      <w:r w:rsidR="0064374F" w:rsidRPr="000C0BA6">
        <w:rPr>
          <w:sz w:val="22"/>
        </w:rPr>
        <w:t>its</w:t>
      </w:r>
      <w:r w:rsidR="00DE6FA8" w:rsidRPr="000C0BA6">
        <w:rPr>
          <w:sz w:val="22"/>
        </w:rPr>
        <w:t xml:space="preserve"> own report</w:t>
      </w:r>
      <w:r w:rsidR="005F2C2D" w:rsidRPr="000C0BA6">
        <w:rPr>
          <w:sz w:val="22"/>
        </w:rPr>
        <w:t>,</w:t>
      </w:r>
      <w:r w:rsidR="00DE6FA8" w:rsidRPr="000C0BA6">
        <w:rPr>
          <w:sz w:val="22"/>
        </w:rPr>
        <w:t xml:space="preserve"> </w:t>
      </w:r>
      <w:r w:rsidR="00960524" w:rsidRPr="000C0BA6">
        <w:rPr>
          <w:i/>
          <w:iCs/>
          <w:sz w:val="22"/>
        </w:rPr>
        <w:t>‘</w:t>
      </w:r>
      <w:r w:rsidR="005F2C2D" w:rsidRPr="000C0BA6">
        <w:rPr>
          <w:i/>
          <w:iCs/>
          <w:sz w:val="22"/>
        </w:rPr>
        <w:t>Chronic pain in England: Unseen, Unequal, Unfair’</w:t>
      </w:r>
      <w:r w:rsidR="00B10C5B" w:rsidRPr="000C0BA6">
        <w:rPr>
          <w:sz w:val="22"/>
        </w:rPr>
        <w:t>.</w:t>
      </w:r>
      <w:r w:rsidR="000C0BA6" w:rsidRPr="000C0BA6">
        <w:rPr>
          <w:sz w:val="22"/>
        </w:rPr>
        <w:fldChar w:fldCharType="begin"/>
      </w:r>
      <w:r w:rsidR="000C0BA6" w:rsidRPr="000C0BA6">
        <w:rPr>
          <w:sz w:val="22"/>
        </w:rPr>
        <w:instrText xml:space="preserve"> NOTEREF _Ref74321895 \f \h </w:instrText>
      </w:r>
      <w:r w:rsidR="000C0BA6">
        <w:rPr>
          <w:sz w:val="22"/>
        </w:rPr>
        <w:instrText xml:space="preserve"> \* MERGEFORMAT </w:instrText>
      </w:r>
      <w:r w:rsidR="000C0BA6" w:rsidRPr="000C0BA6">
        <w:rPr>
          <w:sz w:val="22"/>
        </w:rPr>
      </w:r>
      <w:r w:rsidR="000C0BA6" w:rsidRPr="000C0BA6">
        <w:rPr>
          <w:sz w:val="22"/>
        </w:rPr>
        <w:fldChar w:fldCharType="separate"/>
      </w:r>
      <w:r w:rsidR="005D0525" w:rsidRPr="005D0525">
        <w:rPr>
          <w:rStyle w:val="EndnoteReference"/>
          <w:sz w:val="22"/>
        </w:rPr>
        <w:t>18</w:t>
      </w:r>
      <w:r w:rsidR="000C0BA6" w:rsidRPr="000C0BA6">
        <w:rPr>
          <w:sz w:val="22"/>
        </w:rPr>
        <w:fldChar w:fldCharType="end"/>
      </w:r>
      <w:r w:rsidR="00B10C5B" w:rsidRPr="000C0BA6">
        <w:rPr>
          <w:sz w:val="22"/>
        </w:rPr>
        <w:t xml:space="preserve"> This report</w:t>
      </w:r>
      <w:r w:rsidR="005F2C2D" w:rsidRPr="000C0BA6">
        <w:rPr>
          <w:sz w:val="22"/>
        </w:rPr>
        <w:t xml:space="preserve"> explores</w:t>
      </w:r>
      <w:r w:rsidR="00DE6FA8" w:rsidRPr="000C0BA6">
        <w:rPr>
          <w:sz w:val="22"/>
        </w:rPr>
        <w:t xml:space="preserve"> the impact </w:t>
      </w:r>
      <w:r w:rsidR="00A851C4" w:rsidRPr="000C0BA6">
        <w:rPr>
          <w:sz w:val="22"/>
        </w:rPr>
        <w:t xml:space="preserve">of </w:t>
      </w:r>
      <w:r w:rsidR="00E35CE4" w:rsidRPr="000C0BA6">
        <w:rPr>
          <w:sz w:val="22"/>
        </w:rPr>
        <w:t>chronic</w:t>
      </w:r>
      <w:r w:rsidR="00CD1B59" w:rsidRPr="000C0BA6">
        <w:rPr>
          <w:sz w:val="22"/>
        </w:rPr>
        <w:t xml:space="preserve"> musculoskeletal</w:t>
      </w:r>
      <w:r w:rsidR="00E35CE4" w:rsidRPr="000C0BA6">
        <w:rPr>
          <w:sz w:val="22"/>
        </w:rPr>
        <w:t xml:space="preserve"> pain </w:t>
      </w:r>
      <w:r w:rsidR="00CD1B59" w:rsidRPr="000C0BA6">
        <w:rPr>
          <w:sz w:val="22"/>
        </w:rPr>
        <w:t>on a personal and population leve</w:t>
      </w:r>
      <w:r w:rsidR="000C7B0B" w:rsidRPr="000C0BA6">
        <w:rPr>
          <w:sz w:val="22"/>
        </w:rPr>
        <w:t>l,</w:t>
      </w:r>
      <w:r w:rsidR="000C7B0B" w:rsidRPr="005F2C2D">
        <w:rPr>
          <w:sz w:val="22"/>
        </w:rPr>
        <w:t xml:space="preserve"> and how individuals from marginalised background</w:t>
      </w:r>
      <w:r w:rsidR="00E153B1">
        <w:rPr>
          <w:sz w:val="22"/>
        </w:rPr>
        <w:t>s</w:t>
      </w:r>
      <w:r w:rsidR="000C7B0B" w:rsidRPr="005F2C2D">
        <w:rPr>
          <w:sz w:val="22"/>
        </w:rPr>
        <w:t xml:space="preserve"> are more </w:t>
      </w:r>
      <w:r w:rsidR="00960524" w:rsidRPr="005F2C2D">
        <w:rPr>
          <w:sz w:val="22"/>
        </w:rPr>
        <w:t>likely to</w:t>
      </w:r>
      <w:r w:rsidR="00E153B1">
        <w:rPr>
          <w:sz w:val="22"/>
        </w:rPr>
        <w:t xml:space="preserve"> be</w:t>
      </w:r>
      <w:r w:rsidR="00960524" w:rsidRPr="005F2C2D">
        <w:rPr>
          <w:sz w:val="22"/>
        </w:rPr>
        <w:t xml:space="preserve"> </w:t>
      </w:r>
      <w:r w:rsidR="008E2DE3">
        <w:rPr>
          <w:sz w:val="22"/>
        </w:rPr>
        <w:t>a</w:t>
      </w:r>
      <w:r w:rsidR="00960524" w:rsidRPr="005F2C2D">
        <w:rPr>
          <w:sz w:val="22"/>
        </w:rPr>
        <w:t xml:space="preserve">ffected by </w:t>
      </w:r>
      <w:r w:rsidR="002D04A2" w:rsidRPr="002D04A2">
        <w:rPr>
          <w:sz w:val="22"/>
        </w:rPr>
        <w:t>chronic pain</w:t>
      </w:r>
      <w:r w:rsidR="00960524" w:rsidRPr="005F2C2D">
        <w:rPr>
          <w:sz w:val="22"/>
        </w:rPr>
        <w:t xml:space="preserve">. </w:t>
      </w:r>
    </w:p>
    <w:p w14:paraId="5A3AD530" w14:textId="73C8E0C4" w:rsidR="007272C2" w:rsidRPr="007272C2" w:rsidRDefault="00250964" w:rsidP="007272C2">
      <w:pPr>
        <w:pStyle w:val="ListParagraph"/>
        <w:numPr>
          <w:ilvl w:val="0"/>
          <w:numId w:val="15"/>
        </w:numPr>
        <w:spacing w:after="120"/>
        <w:ind w:left="357" w:hanging="357"/>
        <w:contextualSpacing w:val="0"/>
        <w:rPr>
          <w:b/>
          <w:bCs/>
          <w:sz w:val="22"/>
        </w:rPr>
      </w:pPr>
      <w:r w:rsidRPr="007272C2">
        <w:rPr>
          <w:sz w:val="22"/>
        </w:rPr>
        <w:t>Around 15.5 million</w:t>
      </w:r>
      <w:r w:rsidRPr="004C1BDF">
        <w:rPr>
          <w:rStyle w:val="FootnoteReference"/>
          <w:sz w:val="22"/>
        </w:rPr>
        <w:footnoteReference w:id="2"/>
      </w:r>
      <w:r w:rsidRPr="007272C2">
        <w:rPr>
          <w:sz w:val="22"/>
        </w:rPr>
        <w:t xml:space="preserve"> people (34%) in England have</w:t>
      </w:r>
      <w:r w:rsidR="00872E83">
        <w:rPr>
          <w:sz w:val="22"/>
        </w:rPr>
        <w:t xml:space="preserve"> some form of</w:t>
      </w:r>
      <w:r w:rsidRPr="007272C2">
        <w:rPr>
          <w:sz w:val="22"/>
        </w:rPr>
        <w:t xml:space="preserve"> </w:t>
      </w:r>
      <w:r w:rsidR="00714316">
        <w:rPr>
          <w:sz w:val="22"/>
        </w:rPr>
        <w:t>chronic pain, defined as r</w:t>
      </w:r>
      <w:r w:rsidRPr="007272C2">
        <w:rPr>
          <w:sz w:val="22"/>
        </w:rPr>
        <w:t>ecurrent pain which last</w:t>
      </w:r>
      <w:r w:rsidR="0085177D" w:rsidRPr="007272C2">
        <w:rPr>
          <w:sz w:val="22"/>
        </w:rPr>
        <w:t>s</w:t>
      </w:r>
      <w:r w:rsidRPr="007272C2">
        <w:rPr>
          <w:sz w:val="22"/>
        </w:rPr>
        <w:t xml:space="preserve"> for three months or more</w:t>
      </w:r>
      <w:r w:rsidRPr="002D04A2">
        <w:rPr>
          <w:sz w:val="22"/>
        </w:rPr>
        <w:t>.</w:t>
      </w:r>
      <w:r w:rsidR="004C06A9" w:rsidRPr="000C0BA6">
        <w:rPr>
          <w:sz w:val="22"/>
        </w:rPr>
        <w:fldChar w:fldCharType="begin"/>
      </w:r>
      <w:r w:rsidR="004C06A9" w:rsidRPr="000C0BA6">
        <w:rPr>
          <w:sz w:val="22"/>
        </w:rPr>
        <w:instrText xml:space="preserve"> NOTEREF _Ref74319608 \f \h </w:instrText>
      </w:r>
      <w:r w:rsidR="004C06A9">
        <w:rPr>
          <w:sz w:val="22"/>
        </w:rPr>
        <w:instrText xml:space="preserve"> \* MERGEFORMAT </w:instrText>
      </w:r>
      <w:r w:rsidR="004C06A9" w:rsidRPr="000C0BA6">
        <w:rPr>
          <w:sz w:val="22"/>
        </w:rPr>
      </w:r>
      <w:r w:rsidR="004C06A9" w:rsidRPr="000C0BA6">
        <w:rPr>
          <w:sz w:val="22"/>
        </w:rPr>
        <w:fldChar w:fldCharType="separate"/>
      </w:r>
      <w:r w:rsidR="005D0525" w:rsidRPr="005D0525">
        <w:rPr>
          <w:rStyle w:val="EndnoteReference"/>
          <w:sz w:val="22"/>
        </w:rPr>
        <w:t>6</w:t>
      </w:r>
      <w:r w:rsidR="004C06A9" w:rsidRPr="000C0BA6">
        <w:rPr>
          <w:sz w:val="22"/>
        </w:rPr>
        <w:fldChar w:fldCharType="end"/>
      </w:r>
      <w:r w:rsidR="002F11A8">
        <w:rPr>
          <w:sz w:val="22"/>
        </w:rPr>
        <w:t xml:space="preserve"> </w:t>
      </w:r>
      <w:r w:rsidR="00AB3A18">
        <w:rPr>
          <w:sz w:val="22"/>
        </w:rPr>
        <w:t xml:space="preserve">While a majority of this is </w:t>
      </w:r>
      <w:r w:rsidR="002F11A8">
        <w:rPr>
          <w:sz w:val="22"/>
        </w:rPr>
        <w:t>musculoskeletal pain,</w:t>
      </w:r>
      <w:r w:rsidR="00911CBE">
        <w:rPr>
          <w:sz w:val="22"/>
        </w:rPr>
        <w:t xml:space="preserve"> </w:t>
      </w:r>
      <w:r w:rsidR="00E67F8E">
        <w:rPr>
          <w:sz w:val="22"/>
        </w:rPr>
        <w:t>this</w:t>
      </w:r>
      <w:r w:rsidR="002F11A8">
        <w:rPr>
          <w:sz w:val="22"/>
        </w:rPr>
        <w:t xml:space="preserve"> also</w:t>
      </w:r>
      <w:r w:rsidR="00E67F8E">
        <w:rPr>
          <w:sz w:val="22"/>
        </w:rPr>
        <w:t xml:space="preserve"> includes people experiencing</w:t>
      </w:r>
      <w:r w:rsidR="002F11A8">
        <w:rPr>
          <w:sz w:val="22"/>
        </w:rPr>
        <w:t xml:space="preserve"> </w:t>
      </w:r>
      <w:r w:rsidR="00911CBE">
        <w:rPr>
          <w:sz w:val="22"/>
        </w:rPr>
        <w:t>less common types of chronic pain</w:t>
      </w:r>
      <w:r w:rsidR="00AB3A18">
        <w:rPr>
          <w:sz w:val="22"/>
        </w:rPr>
        <w:t xml:space="preserve"> such as neuropathic pain,</w:t>
      </w:r>
      <w:r w:rsidR="00E67F8E">
        <w:rPr>
          <w:sz w:val="22"/>
        </w:rPr>
        <w:t xml:space="preserve"> chronic</w:t>
      </w:r>
      <w:r w:rsidR="00AB3A18">
        <w:rPr>
          <w:sz w:val="22"/>
        </w:rPr>
        <w:t xml:space="preserve"> </w:t>
      </w:r>
      <w:r w:rsidR="00E67F8E">
        <w:rPr>
          <w:sz w:val="22"/>
        </w:rPr>
        <w:t>migraine</w:t>
      </w:r>
      <w:r w:rsidR="00B64EC7">
        <w:rPr>
          <w:sz w:val="22"/>
        </w:rPr>
        <w:t>,</w:t>
      </w:r>
      <w:r w:rsidR="00AB3A18">
        <w:rPr>
          <w:sz w:val="22"/>
        </w:rPr>
        <w:t xml:space="preserve"> </w:t>
      </w:r>
      <w:r w:rsidR="00E67F8E">
        <w:rPr>
          <w:sz w:val="22"/>
        </w:rPr>
        <w:t>and</w:t>
      </w:r>
      <w:r w:rsidR="00AB3A18">
        <w:rPr>
          <w:sz w:val="22"/>
        </w:rPr>
        <w:t xml:space="preserve"> pelvic pain</w:t>
      </w:r>
      <w:r w:rsidR="00AB3A18" w:rsidRPr="002D04A2">
        <w:rPr>
          <w:sz w:val="22"/>
        </w:rPr>
        <w:t>.</w:t>
      </w:r>
      <w:r w:rsidR="004C06A9" w:rsidRPr="000C0BA6">
        <w:rPr>
          <w:sz w:val="22"/>
        </w:rPr>
        <w:fldChar w:fldCharType="begin"/>
      </w:r>
      <w:r w:rsidR="004C06A9" w:rsidRPr="000C0BA6">
        <w:rPr>
          <w:sz w:val="22"/>
        </w:rPr>
        <w:instrText xml:space="preserve"> NOTEREF _Ref74319608 \f \h </w:instrText>
      </w:r>
      <w:r w:rsidR="004C06A9">
        <w:rPr>
          <w:sz w:val="22"/>
        </w:rPr>
        <w:instrText xml:space="preserve"> \* MERGEFORMAT </w:instrText>
      </w:r>
      <w:r w:rsidR="004C06A9" w:rsidRPr="000C0BA6">
        <w:rPr>
          <w:sz w:val="22"/>
        </w:rPr>
      </w:r>
      <w:r w:rsidR="004C06A9" w:rsidRPr="000C0BA6">
        <w:rPr>
          <w:sz w:val="22"/>
        </w:rPr>
        <w:fldChar w:fldCharType="separate"/>
      </w:r>
      <w:r w:rsidR="005D0525" w:rsidRPr="005D0525">
        <w:rPr>
          <w:rStyle w:val="EndnoteReference"/>
          <w:sz w:val="22"/>
        </w:rPr>
        <w:t>6</w:t>
      </w:r>
      <w:r w:rsidR="004C06A9" w:rsidRPr="000C0BA6">
        <w:rPr>
          <w:sz w:val="22"/>
        </w:rPr>
        <w:fldChar w:fldCharType="end"/>
      </w:r>
      <w:r w:rsidR="00911CBE" w:rsidRPr="002D04A2">
        <w:rPr>
          <w:sz w:val="22"/>
        </w:rPr>
        <w:t xml:space="preserve"> </w:t>
      </w:r>
      <w:r w:rsidR="002F11A8" w:rsidRPr="002D04A2">
        <w:rPr>
          <w:sz w:val="22"/>
        </w:rPr>
        <w:t xml:space="preserve"> </w:t>
      </w:r>
    </w:p>
    <w:p w14:paraId="4C762430" w14:textId="172647D0" w:rsidR="007272C2" w:rsidRPr="007272C2" w:rsidRDefault="00250964" w:rsidP="007272C2">
      <w:pPr>
        <w:pStyle w:val="ListParagraph"/>
        <w:numPr>
          <w:ilvl w:val="0"/>
          <w:numId w:val="15"/>
        </w:numPr>
        <w:spacing w:after="120"/>
        <w:ind w:left="357" w:hanging="357"/>
        <w:contextualSpacing w:val="0"/>
        <w:rPr>
          <w:b/>
          <w:bCs/>
          <w:sz w:val="22"/>
        </w:rPr>
      </w:pPr>
      <w:r w:rsidRPr="007272C2">
        <w:rPr>
          <w:sz w:val="22"/>
        </w:rPr>
        <w:t xml:space="preserve">12% of </w:t>
      </w:r>
      <w:r w:rsidR="004420F9" w:rsidRPr="007272C2">
        <w:rPr>
          <w:sz w:val="22"/>
        </w:rPr>
        <w:t xml:space="preserve">all </w:t>
      </w:r>
      <w:r w:rsidRPr="007272C2">
        <w:rPr>
          <w:sz w:val="22"/>
        </w:rPr>
        <w:t xml:space="preserve">people </w:t>
      </w:r>
      <w:r w:rsidR="004420F9" w:rsidRPr="007272C2">
        <w:rPr>
          <w:sz w:val="22"/>
        </w:rPr>
        <w:t xml:space="preserve">in England </w:t>
      </w:r>
      <w:r w:rsidRPr="007272C2">
        <w:rPr>
          <w:sz w:val="22"/>
        </w:rPr>
        <w:t xml:space="preserve">have high-impact chronic pain, </w:t>
      </w:r>
      <w:r w:rsidR="00E230D3" w:rsidRPr="00E230D3">
        <w:rPr>
          <w:sz w:val="22"/>
        </w:rPr>
        <w:t xml:space="preserve">the most severe form which means a person struggles to take part in daily activities such as self-care, family, </w:t>
      </w:r>
      <w:r w:rsidR="004C06A9" w:rsidRPr="00E230D3">
        <w:rPr>
          <w:sz w:val="22"/>
        </w:rPr>
        <w:t>community,</w:t>
      </w:r>
      <w:r w:rsidR="00E230D3" w:rsidRPr="00E230D3">
        <w:rPr>
          <w:sz w:val="22"/>
        </w:rPr>
        <w:t xml:space="preserve"> and work</w:t>
      </w:r>
      <w:r w:rsidRPr="007272C2">
        <w:rPr>
          <w:sz w:val="22"/>
        </w:rPr>
        <w:t>.</w:t>
      </w:r>
      <w:r w:rsidR="004C06A9" w:rsidRPr="000C0BA6">
        <w:rPr>
          <w:sz w:val="22"/>
        </w:rPr>
        <w:fldChar w:fldCharType="begin"/>
      </w:r>
      <w:r w:rsidR="004C06A9" w:rsidRPr="000C0BA6">
        <w:rPr>
          <w:sz w:val="22"/>
        </w:rPr>
        <w:instrText xml:space="preserve"> NOTEREF _Ref74319608 \f \h </w:instrText>
      </w:r>
      <w:r w:rsidR="004C06A9">
        <w:rPr>
          <w:sz w:val="22"/>
        </w:rPr>
        <w:instrText xml:space="preserve"> \* MERGEFORMAT </w:instrText>
      </w:r>
      <w:r w:rsidR="004C06A9" w:rsidRPr="000C0BA6">
        <w:rPr>
          <w:sz w:val="22"/>
        </w:rPr>
      </w:r>
      <w:r w:rsidR="004C06A9" w:rsidRPr="000C0BA6">
        <w:rPr>
          <w:sz w:val="22"/>
        </w:rPr>
        <w:fldChar w:fldCharType="separate"/>
      </w:r>
      <w:r w:rsidR="005D0525" w:rsidRPr="005D0525">
        <w:rPr>
          <w:rStyle w:val="EndnoteReference"/>
          <w:sz w:val="22"/>
        </w:rPr>
        <w:t>6</w:t>
      </w:r>
      <w:r w:rsidR="004C06A9" w:rsidRPr="000C0BA6">
        <w:rPr>
          <w:sz w:val="22"/>
        </w:rPr>
        <w:fldChar w:fldCharType="end"/>
      </w:r>
      <w:r w:rsidR="004C06A9" w:rsidRPr="007272C2">
        <w:rPr>
          <w:b/>
          <w:bCs/>
          <w:sz w:val="22"/>
        </w:rPr>
        <w:t xml:space="preserve"> </w:t>
      </w:r>
    </w:p>
    <w:p w14:paraId="1BA8ADDF" w14:textId="67B8FA79" w:rsidR="007272C2" w:rsidRPr="00714316" w:rsidRDefault="00493829" w:rsidP="00714316">
      <w:pPr>
        <w:pStyle w:val="ListParagraph"/>
        <w:numPr>
          <w:ilvl w:val="0"/>
          <w:numId w:val="15"/>
        </w:numPr>
        <w:spacing w:after="120"/>
        <w:ind w:left="357" w:hanging="357"/>
        <w:contextualSpacing w:val="0"/>
        <w:rPr>
          <w:b/>
          <w:bCs/>
          <w:sz w:val="22"/>
        </w:rPr>
      </w:pPr>
      <w:r>
        <w:rPr>
          <w:sz w:val="22"/>
        </w:rPr>
        <w:t>M</w:t>
      </w:r>
      <w:r w:rsidRPr="00714316">
        <w:rPr>
          <w:sz w:val="22"/>
        </w:rPr>
        <w:t>usculoskeletal conditions are</w:t>
      </w:r>
      <w:r w:rsidR="00597BFC">
        <w:rPr>
          <w:sz w:val="22"/>
        </w:rPr>
        <w:t xml:space="preserve"> responsible </w:t>
      </w:r>
      <w:r w:rsidR="00723183">
        <w:rPr>
          <w:sz w:val="22"/>
        </w:rPr>
        <w:t xml:space="preserve">for </w:t>
      </w:r>
      <w:proofErr w:type="gramStart"/>
      <w:r w:rsidR="00597BFC">
        <w:rPr>
          <w:sz w:val="22"/>
        </w:rPr>
        <w:t>the</w:t>
      </w:r>
      <w:r>
        <w:rPr>
          <w:sz w:val="22"/>
        </w:rPr>
        <w:t xml:space="preserve"> majority</w:t>
      </w:r>
      <w:r w:rsidRPr="00714316">
        <w:rPr>
          <w:sz w:val="22"/>
        </w:rPr>
        <w:t xml:space="preserve"> of</w:t>
      </w:r>
      <w:proofErr w:type="gramEnd"/>
      <w:r w:rsidR="00E66351">
        <w:rPr>
          <w:sz w:val="22"/>
        </w:rPr>
        <w:t xml:space="preserve"> </w:t>
      </w:r>
      <w:r w:rsidRPr="00714316">
        <w:rPr>
          <w:sz w:val="22"/>
        </w:rPr>
        <w:t>chronic pain</w:t>
      </w:r>
      <w:r w:rsidR="00E66351">
        <w:rPr>
          <w:sz w:val="22"/>
        </w:rPr>
        <w:t xml:space="preserve"> </w:t>
      </w:r>
      <w:r w:rsidRPr="00714316">
        <w:rPr>
          <w:sz w:val="22"/>
        </w:rPr>
        <w:t>in the UK</w:t>
      </w:r>
      <w:r>
        <w:rPr>
          <w:sz w:val="22"/>
        </w:rPr>
        <w:t xml:space="preserve">, with </w:t>
      </w:r>
      <w:r w:rsidR="00B407A5" w:rsidRPr="00714316">
        <w:rPr>
          <w:sz w:val="22"/>
        </w:rPr>
        <w:t xml:space="preserve">81% of people </w:t>
      </w:r>
      <w:r w:rsidR="005A3194" w:rsidRPr="00714316">
        <w:rPr>
          <w:sz w:val="22"/>
        </w:rPr>
        <w:t xml:space="preserve">with a musculoskeletal condition </w:t>
      </w:r>
      <w:r w:rsidR="00DE7CB0">
        <w:rPr>
          <w:sz w:val="22"/>
        </w:rPr>
        <w:t>experiencing</w:t>
      </w:r>
      <w:r w:rsidR="005A3194" w:rsidRPr="00714316">
        <w:rPr>
          <w:sz w:val="22"/>
        </w:rPr>
        <w:t xml:space="preserve"> chronic pain</w:t>
      </w:r>
      <w:r w:rsidR="0080575E" w:rsidRPr="002D04A2">
        <w:rPr>
          <w:sz w:val="22"/>
        </w:rPr>
        <w:t>.</w:t>
      </w:r>
      <w:r w:rsidR="00ED2A2C" w:rsidRPr="000C0BA6">
        <w:rPr>
          <w:sz w:val="22"/>
        </w:rPr>
        <w:fldChar w:fldCharType="begin"/>
      </w:r>
      <w:r w:rsidR="00ED2A2C" w:rsidRPr="000C0BA6">
        <w:rPr>
          <w:sz w:val="22"/>
        </w:rPr>
        <w:instrText xml:space="preserve"> NOTEREF _Ref74319608 \f \h </w:instrText>
      </w:r>
      <w:r w:rsidR="00ED2A2C">
        <w:rPr>
          <w:sz w:val="22"/>
        </w:rPr>
        <w:instrText xml:space="preserve"> \* MERGEFORMAT </w:instrText>
      </w:r>
      <w:r w:rsidR="00ED2A2C" w:rsidRPr="000C0BA6">
        <w:rPr>
          <w:sz w:val="22"/>
        </w:rPr>
      </w:r>
      <w:r w:rsidR="00ED2A2C" w:rsidRPr="000C0BA6">
        <w:rPr>
          <w:sz w:val="22"/>
        </w:rPr>
        <w:fldChar w:fldCharType="separate"/>
      </w:r>
      <w:r w:rsidR="005D0525" w:rsidRPr="005D0525">
        <w:rPr>
          <w:rStyle w:val="EndnoteReference"/>
          <w:sz w:val="22"/>
        </w:rPr>
        <w:t>6</w:t>
      </w:r>
      <w:r w:rsidR="00ED2A2C" w:rsidRPr="000C0BA6">
        <w:rPr>
          <w:sz w:val="22"/>
        </w:rPr>
        <w:fldChar w:fldCharType="end"/>
      </w:r>
      <w:r w:rsidR="004C06A9" w:rsidRPr="00714316">
        <w:rPr>
          <w:b/>
          <w:bCs/>
          <w:sz w:val="22"/>
        </w:rPr>
        <w:t xml:space="preserve"> </w:t>
      </w:r>
    </w:p>
    <w:p w14:paraId="1F679D07" w14:textId="6BAFE64C" w:rsidR="00D40FBE" w:rsidRPr="00D40FBE" w:rsidRDefault="00EA3C4C" w:rsidP="00D40FBE">
      <w:pPr>
        <w:pStyle w:val="ListParagraph"/>
        <w:numPr>
          <w:ilvl w:val="0"/>
          <w:numId w:val="15"/>
        </w:numPr>
        <w:spacing w:after="120"/>
        <w:ind w:left="357" w:hanging="357"/>
        <w:contextualSpacing w:val="0"/>
        <w:rPr>
          <w:b/>
          <w:bCs/>
          <w:sz w:val="22"/>
        </w:rPr>
      </w:pPr>
      <w:r w:rsidRPr="007272C2">
        <w:rPr>
          <w:sz w:val="22"/>
        </w:rPr>
        <w:t xml:space="preserve">Among those that reported </w:t>
      </w:r>
      <w:r w:rsidR="001F1EDD">
        <w:rPr>
          <w:sz w:val="22"/>
        </w:rPr>
        <w:t xml:space="preserve">that </w:t>
      </w:r>
      <w:r w:rsidRPr="007272C2">
        <w:rPr>
          <w:sz w:val="22"/>
        </w:rPr>
        <w:t>their chronic pain high</w:t>
      </w:r>
      <w:r w:rsidR="00A5779F" w:rsidRPr="007272C2">
        <w:rPr>
          <w:sz w:val="22"/>
        </w:rPr>
        <w:t>ly</w:t>
      </w:r>
      <w:r w:rsidRPr="007272C2">
        <w:rPr>
          <w:sz w:val="22"/>
        </w:rPr>
        <w:t xml:space="preserve"> interfere</w:t>
      </w:r>
      <w:r w:rsidR="00A5779F" w:rsidRPr="007272C2">
        <w:rPr>
          <w:sz w:val="22"/>
        </w:rPr>
        <w:t xml:space="preserve">d with their </w:t>
      </w:r>
      <w:r w:rsidRPr="007272C2">
        <w:rPr>
          <w:sz w:val="22"/>
        </w:rPr>
        <w:t>usual activities, respondents were most likely to have a</w:t>
      </w:r>
      <w:r w:rsidR="00A5779F" w:rsidRPr="007272C2">
        <w:rPr>
          <w:sz w:val="22"/>
        </w:rPr>
        <w:t xml:space="preserve"> </w:t>
      </w:r>
      <w:r w:rsidRPr="007272C2">
        <w:rPr>
          <w:sz w:val="22"/>
        </w:rPr>
        <w:t>musculoskeletal condition (51%).</w:t>
      </w:r>
      <w:r w:rsidR="00ED2A2C" w:rsidRPr="000C0BA6">
        <w:rPr>
          <w:sz w:val="22"/>
        </w:rPr>
        <w:fldChar w:fldCharType="begin"/>
      </w:r>
      <w:r w:rsidR="00ED2A2C" w:rsidRPr="000C0BA6">
        <w:rPr>
          <w:sz w:val="22"/>
        </w:rPr>
        <w:instrText xml:space="preserve"> NOTEREF _Ref74319608 \f \h </w:instrText>
      </w:r>
      <w:r w:rsidR="00ED2A2C">
        <w:rPr>
          <w:sz w:val="22"/>
        </w:rPr>
        <w:instrText xml:space="preserve"> \* MERGEFORMAT </w:instrText>
      </w:r>
      <w:r w:rsidR="00ED2A2C" w:rsidRPr="000C0BA6">
        <w:rPr>
          <w:sz w:val="22"/>
        </w:rPr>
      </w:r>
      <w:r w:rsidR="00ED2A2C" w:rsidRPr="000C0BA6">
        <w:rPr>
          <w:sz w:val="22"/>
        </w:rPr>
        <w:fldChar w:fldCharType="separate"/>
      </w:r>
      <w:r w:rsidR="005D0525" w:rsidRPr="005D0525">
        <w:rPr>
          <w:rStyle w:val="EndnoteReference"/>
          <w:sz w:val="22"/>
        </w:rPr>
        <w:t>6</w:t>
      </w:r>
      <w:r w:rsidR="00ED2A2C" w:rsidRPr="000C0BA6">
        <w:rPr>
          <w:sz w:val="22"/>
        </w:rPr>
        <w:fldChar w:fldCharType="end"/>
      </w:r>
      <w:r w:rsidRPr="007272C2">
        <w:rPr>
          <w:sz w:val="22"/>
        </w:rPr>
        <w:t xml:space="preserve"> This was significantly higher than the next condition</w:t>
      </w:r>
      <w:r w:rsidR="00433B23">
        <w:rPr>
          <w:sz w:val="22"/>
        </w:rPr>
        <w:t xml:space="preserve"> listed</w:t>
      </w:r>
      <w:r w:rsidRPr="007272C2">
        <w:rPr>
          <w:sz w:val="22"/>
        </w:rPr>
        <w:t>,</w:t>
      </w:r>
      <w:r w:rsidR="00E02F7A" w:rsidRPr="007272C2">
        <w:rPr>
          <w:sz w:val="22"/>
        </w:rPr>
        <w:t xml:space="preserve"> </w:t>
      </w:r>
      <w:r w:rsidRPr="007272C2">
        <w:rPr>
          <w:sz w:val="22"/>
        </w:rPr>
        <w:t>mental disorders (28%)</w:t>
      </w:r>
      <w:r w:rsidR="004C1BDF" w:rsidRPr="007272C2">
        <w:rPr>
          <w:sz w:val="22"/>
        </w:rPr>
        <w:t>.</w:t>
      </w:r>
      <w:r w:rsidR="00ED2A2C" w:rsidRPr="000C0BA6">
        <w:rPr>
          <w:sz w:val="22"/>
        </w:rPr>
        <w:fldChar w:fldCharType="begin"/>
      </w:r>
      <w:r w:rsidR="00ED2A2C" w:rsidRPr="000C0BA6">
        <w:rPr>
          <w:sz w:val="22"/>
        </w:rPr>
        <w:instrText xml:space="preserve"> NOTEREF _Ref74319608 \f \h </w:instrText>
      </w:r>
      <w:r w:rsidR="00ED2A2C">
        <w:rPr>
          <w:sz w:val="22"/>
        </w:rPr>
        <w:instrText xml:space="preserve"> \* MERGEFORMAT </w:instrText>
      </w:r>
      <w:r w:rsidR="00ED2A2C" w:rsidRPr="000C0BA6">
        <w:rPr>
          <w:sz w:val="22"/>
        </w:rPr>
      </w:r>
      <w:r w:rsidR="00ED2A2C" w:rsidRPr="000C0BA6">
        <w:rPr>
          <w:sz w:val="22"/>
        </w:rPr>
        <w:fldChar w:fldCharType="separate"/>
      </w:r>
      <w:r w:rsidR="005D0525" w:rsidRPr="005D0525">
        <w:rPr>
          <w:rStyle w:val="EndnoteReference"/>
          <w:sz w:val="22"/>
        </w:rPr>
        <w:t>6</w:t>
      </w:r>
      <w:r w:rsidR="00ED2A2C" w:rsidRPr="000C0BA6">
        <w:rPr>
          <w:sz w:val="22"/>
        </w:rPr>
        <w:fldChar w:fldCharType="end"/>
      </w:r>
    </w:p>
    <w:p w14:paraId="307B0980" w14:textId="651E10BA" w:rsidR="00250964" w:rsidRPr="002E2BFA" w:rsidRDefault="00EA515F" w:rsidP="00A517FC">
      <w:pPr>
        <w:pStyle w:val="ListParagraph"/>
        <w:numPr>
          <w:ilvl w:val="0"/>
          <w:numId w:val="15"/>
        </w:numPr>
        <w:spacing w:after="0"/>
        <w:ind w:left="357" w:hanging="357"/>
        <w:contextualSpacing w:val="0"/>
        <w:rPr>
          <w:sz w:val="22"/>
        </w:rPr>
      </w:pPr>
      <w:r>
        <w:rPr>
          <w:bCs/>
          <w:sz w:val="22"/>
        </w:rPr>
        <w:t xml:space="preserve">The </w:t>
      </w:r>
      <w:r w:rsidRPr="007272C2">
        <w:rPr>
          <w:sz w:val="22"/>
        </w:rPr>
        <w:t>Chronic Pain research report</w:t>
      </w:r>
      <w:r w:rsidRPr="00D40FBE">
        <w:rPr>
          <w:bCs/>
          <w:sz w:val="22"/>
        </w:rPr>
        <w:t xml:space="preserve"> </w:t>
      </w:r>
      <w:r w:rsidR="00C81F16">
        <w:rPr>
          <w:bCs/>
          <w:sz w:val="22"/>
        </w:rPr>
        <w:t>demonstrates how w</w:t>
      </w:r>
      <w:r w:rsidR="00250964" w:rsidRPr="00D40FBE">
        <w:rPr>
          <w:bCs/>
          <w:sz w:val="22"/>
        </w:rPr>
        <w:t>omen are more affected by chronic pain than men</w:t>
      </w:r>
      <w:r w:rsidR="00F0163F" w:rsidRPr="00D32471">
        <w:rPr>
          <w:bCs/>
          <w:sz w:val="22"/>
        </w:rPr>
        <w:t xml:space="preserve">, as </w:t>
      </w:r>
      <w:r w:rsidR="00250964" w:rsidRPr="00AE7BAD">
        <w:rPr>
          <w:sz w:val="22"/>
        </w:rPr>
        <w:t xml:space="preserve">38% of women </w:t>
      </w:r>
      <w:r w:rsidR="00F0163F" w:rsidRPr="00D32471">
        <w:rPr>
          <w:sz w:val="22"/>
        </w:rPr>
        <w:t>report experiencing</w:t>
      </w:r>
      <w:r w:rsidR="00250964" w:rsidRPr="00AE7BAD">
        <w:rPr>
          <w:sz w:val="22"/>
        </w:rPr>
        <w:t xml:space="preserve"> chronic pain </w:t>
      </w:r>
      <w:r w:rsidR="00F0163F" w:rsidRPr="00D32471">
        <w:rPr>
          <w:sz w:val="22"/>
        </w:rPr>
        <w:t>in comparison to</w:t>
      </w:r>
      <w:r w:rsidR="00250964" w:rsidRPr="00AE7BAD">
        <w:rPr>
          <w:sz w:val="22"/>
        </w:rPr>
        <w:t xml:space="preserve"> 30% of men.</w:t>
      </w:r>
      <w:r w:rsidR="00ED2A2C" w:rsidRPr="000C0BA6">
        <w:rPr>
          <w:sz w:val="22"/>
        </w:rPr>
        <w:fldChar w:fldCharType="begin"/>
      </w:r>
      <w:r w:rsidR="00ED2A2C" w:rsidRPr="000C0BA6">
        <w:rPr>
          <w:sz w:val="22"/>
        </w:rPr>
        <w:instrText xml:space="preserve"> NOTEREF _Ref74319608 \f \h </w:instrText>
      </w:r>
      <w:r w:rsidR="00ED2A2C">
        <w:rPr>
          <w:sz w:val="22"/>
        </w:rPr>
        <w:instrText xml:space="preserve"> \* MERGEFORMAT </w:instrText>
      </w:r>
      <w:r w:rsidR="00ED2A2C" w:rsidRPr="000C0BA6">
        <w:rPr>
          <w:sz w:val="22"/>
        </w:rPr>
      </w:r>
      <w:r w:rsidR="00ED2A2C" w:rsidRPr="000C0BA6">
        <w:rPr>
          <w:sz w:val="22"/>
        </w:rPr>
        <w:fldChar w:fldCharType="separate"/>
      </w:r>
      <w:r w:rsidR="005D0525" w:rsidRPr="005D0525">
        <w:rPr>
          <w:rStyle w:val="EndnoteReference"/>
          <w:sz w:val="22"/>
        </w:rPr>
        <w:t>6</w:t>
      </w:r>
      <w:r w:rsidR="00ED2A2C" w:rsidRPr="000C0BA6">
        <w:rPr>
          <w:sz w:val="22"/>
        </w:rPr>
        <w:fldChar w:fldCharType="end"/>
      </w:r>
      <w:r w:rsidR="004C06A9" w:rsidRPr="00D32471">
        <w:rPr>
          <w:sz w:val="22"/>
        </w:rPr>
        <w:t xml:space="preserve"> </w:t>
      </w:r>
      <w:r w:rsidR="00996A93" w:rsidRPr="00D32471">
        <w:rPr>
          <w:sz w:val="22"/>
        </w:rPr>
        <w:t>Furthermore:</w:t>
      </w:r>
      <w:r w:rsidR="00ED2A2C" w:rsidRPr="000C0BA6">
        <w:rPr>
          <w:sz w:val="22"/>
        </w:rPr>
        <w:fldChar w:fldCharType="begin"/>
      </w:r>
      <w:r w:rsidR="00ED2A2C" w:rsidRPr="000C0BA6">
        <w:rPr>
          <w:sz w:val="22"/>
        </w:rPr>
        <w:instrText xml:space="preserve"> NOTEREF _Ref74319608 \f \h </w:instrText>
      </w:r>
      <w:r w:rsidR="00ED2A2C">
        <w:rPr>
          <w:sz w:val="22"/>
        </w:rPr>
        <w:instrText xml:space="preserve"> \* MERGEFORMAT </w:instrText>
      </w:r>
      <w:r w:rsidR="00ED2A2C" w:rsidRPr="000C0BA6">
        <w:rPr>
          <w:sz w:val="22"/>
        </w:rPr>
      </w:r>
      <w:r w:rsidR="00ED2A2C" w:rsidRPr="000C0BA6">
        <w:rPr>
          <w:sz w:val="22"/>
        </w:rPr>
        <w:fldChar w:fldCharType="separate"/>
      </w:r>
      <w:r w:rsidR="005D0525" w:rsidRPr="005D0525">
        <w:rPr>
          <w:rStyle w:val="EndnoteReference"/>
          <w:sz w:val="22"/>
        </w:rPr>
        <w:t>6</w:t>
      </w:r>
      <w:r w:rsidR="00ED2A2C" w:rsidRPr="000C0BA6">
        <w:rPr>
          <w:sz w:val="22"/>
        </w:rPr>
        <w:fldChar w:fldCharType="end"/>
      </w:r>
    </w:p>
    <w:p w14:paraId="7B282F4A" w14:textId="2C403559" w:rsidR="00250964" w:rsidRPr="002E2BFA" w:rsidRDefault="00250964" w:rsidP="00996A93">
      <w:pPr>
        <w:pStyle w:val="ListParagraph"/>
        <w:numPr>
          <w:ilvl w:val="0"/>
          <w:numId w:val="3"/>
        </w:numPr>
        <w:rPr>
          <w:sz w:val="22"/>
        </w:rPr>
      </w:pPr>
      <w:r w:rsidRPr="002E2BFA">
        <w:rPr>
          <w:sz w:val="22"/>
        </w:rPr>
        <w:t>14% of women have high impact chronic pain versus 9% of men.</w:t>
      </w:r>
      <w:r w:rsidR="004C06A9" w:rsidRPr="002E2BFA">
        <w:rPr>
          <w:sz w:val="22"/>
        </w:rPr>
        <w:t xml:space="preserve"> </w:t>
      </w:r>
    </w:p>
    <w:p w14:paraId="791B456B" w14:textId="14CC0EAC" w:rsidR="00E47FB7" w:rsidRPr="002E2BFA" w:rsidRDefault="00C937AB" w:rsidP="00996A93">
      <w:pPr>
        <w:pStyle w:val="ListParagraph"/>
        <w:numPr>
          <w:ilvl w:val="0"/>
          <w:numId w:val="3"/>
        </w:numPr>
        <w:rPr>
          <w:sz w:val="22"/>
        </w:rPr>
      </w:pPr>
      <w:r w:rsidRPr="002E2BFA">
        <w:rPr>
          <w:sz w:val="22"/>
        </w:rPr>
        <w:t>36% of w</w:t>
      </w:r>
      <w:r w:rsidR="00E47FB7" w:rsidRPr="002E2BFA">
        <w:rPr>
          <w:sz w:val="22"/>
        </w:rPr>
        <w:t>omen report pain that ha</w:t>
      </w:r>
      <w:r w:rsidR="004E3546">
        <w:rPr>
          <w:sz w:val="22"/>
        </w:rPr>
        <w:t>s</w:t>
      </w:r>
      <w:r w:rsidR="00E47FB7" w:rsidRPr="002E2BFA">
        <w:rPr>
          <w:sz w:val="22"/>
        </w:rPr>
        <w:t xml:space="preserve"> a high interference on their usual activities</w:t>
      </w:r>
      <w:r w:rsidR="00903E98">
        <w:rPr>
          <w:sz w:val="22"/>
        </w:rPr>
        <w:t>,</w:t>
      </w:r>
      <w:r w:rsidRPr="002E2BFA">
        <w:rPr>
          <w:sz w:val="22"/>
        </w:rPr>
        <w:t xml:space="preserve"> versus 31%</w:t>
      </w:r>
      <w:r w:rsidR="00E47FB7" w:rsidRPr="002E2BFA">
        <w:rPr>
          <w:sz w:val="22"/>
        </w:rPr>
        <w:t xml:space="preserve"> </w:t>
      </w:r>
      <w:r w:rsidRPr="002E2BFA">
        <w:rPr>
          <w:sz w:val="22"/>
        </w:rPr>
        <w:t>of</w:t>
      </w:r>
      <w:r w:rsidR="00E47FB7" w:rsidRPr="002E2BFA">
        <w:rPr>
          <w:sz w:val="22"/>
        </w:rPr>
        <w:t xml:space="preserve"> men</w:t>
      </w:r>
      <w:r w:rsidRPr="002E2BFA">
        <w:rPr>
          <w:sz w:val="22"/>
        </w:rPr>
        <w:t>.</w:t>
      </w:r>
      <w:r w:rsidR="004C06A9" w:rsidRPr="002E2BFA">
        <w:rPr>
          <w:sz w:val="22"/>
        </w:rPr>
        <w:t xml:space="preserve"> </w:t>
      </w:r>
    </w:p>
    <w:p w14:paraId="2D126E05" w14:textId="0AF559A0" w:rsidR="00FA131D" w:rsidRDefault="00FA131D" w:rsidP="005A249F">
      <w:pPr>
        <w:pStyle w:val="ListParagraph"/>
        <w:numPr>
          <w:ilvl w:val="0"/>
          <w:numId w:val="15"/>
        </w:numPr>
        <w:spacing w:after="120"/>
        <w:ind w:left="357" w:hanging="357"/>
        <w:contextualSpacing w:val="0"/>
        <w:rPr>
          <w:sz w:val="22"/>
        </w:rPr>
      </w:pPr>
      <w:r w:rsidRPr="00FA131D">
        <w:rPr>
          <w:sz w:val="22"/>
        </w:rPr>
        <w:t>These findings are consistent with other studies which have shown that women experience more chronic pain than men.</w:t>
      </w:r>
      <w:r w:rsidR="00812529">
        <w:rPr>
          <w:rStyle w:val="EndnoteReference"/>
          <w:sz w:val="22"/>
        </w:rPr>
        <w:endnoteReference w:id="38"/>
      </w:r>
      <w:r w:rsidR="00512E98">
        <w:rPr>
          <w:sz w:val="22"/>
          <w:vertAlign w:val="superscript"/>
        </w:rPr>
        <w:t>,</w:t>
      </w:r>
      <w:r w:rsidR="00682086">
        <w:rPr>
          <w:sz w:val="22"/>
          <w:vertAlign w:val="superscript"/>
        </w:rPr>
        <w:t xml:space="preserve"> </w:t>
      </w:r>
      <w:r w:rsidR="00512E98">
        <w:rPr>
          <w:rStyle w:val="EndnoteReference"/>
          <w:sz w:val="22"/>
        </w:rPr>
        <w:endnoteReference w:id="39"/>
      </w:r>
    </w:p>
    <w:p w14:paraId="3CE40527" w14:textId="5BEA4257" w:rsidR="002B75BA" w:rsidRDefault="008162C7" w:rsidP="002B75BA">
      <w:pPr>
        <w:pStyle w:val="ListParagraph"/>
        <w:numPr>
          <w:ilvl w:val="0"/>
          <w:numId w:val="15"/>
        </w:numPr>
        <w:spacing w:after="0"/>
        <w:ind w:left="357" w:hanging="357"/>
        <w:contextualSpacing w:val="0"/>
        <w:rPr>
          <w:sz w:val="22"/>
        </w:rPr>
      </w:pPr>
      <w:r w:rsidRPr="00C566EB">
        <w:rPr>
          <w:sz w:val="22"/>
        </w:rPr>
        <w:t>Chronic</w:t>
      </w:r>
      <w:r w:rsidR="00E23F7B">
        <w:rPr>
          <w:sz w:val="22"/>
        </w:rPr>
        <w:t xml:space="preserve"> musculoskeletal</w:t>
      </w:r>
      <w:r w:rsidRPr="00C566EB">
        <w:rPr>
          <w:sz w:val="22"/>
        </w:rPr>
        <w:t xml:space="preserve"> pain is more common among women regardless of where the pain is felt</w:t>
      </w:r>
      <w:r w:rsidR="00B678F6">
        <w:rPr>
          <w:sz w:val="22"/>
        </w:rPr>
        <w:t>:</w:t>
      </w:r>
      <w:r w:rsidRPr="00C566EB">
        <w:rPr>
          <w:sz w:val="22"/>
        </w:rPr>
        <w:t xml:space="preserve"> </w:t>
      </w:r>
    </w:p>
    <w:p w14:paraId="4A551DA6" w14:textId="0D045915" w:rsidR="002B75BA" w:rsidRDefault="008162C7" w:rsidP="008C6DF1">
      <w:pPr>
        <w:pStyle w:val="ListParagraph"/>
        <w:numPr>
          <w:ilvl w:val="1"/>
          <w:numId w:val="36"/>
        </w:numPr>
        <w:spacing w:after="0"/>
        <w:ind w:left="782" w:hanging="357"/>
        <w:contextualSpacing w:val="0"/>
        <w:rPr>
          <w:sz w:val="22"/>
        </w:rPr>
      </w:pPr>
      <w:r w:rsidRPr="00C566EB">
        <w:rPr>
          <w:sz w:val="22"/>
        </w:rPr>
        <w:t>Between 4 and 5 out of every 10 women (45%) report chronic back pain, compared to about 4 out of ever</w:t>
      </w:r>
      <w:r w:rsidR="005A249F">
        <w:rPr>
          <w:sz w:val="22"/>
        </w:rPr>
        <w:t>y</w:t>
      </w:r>
      <w:r w:rsidRPr="005A249F">
        <w:rPr>
          <w:sz w:val="22"/>
        </w:rPr>
        <w:t xml:space="preserve"> </w:t>
      </w:r>
      <w:r w:rsidR="00903E98">
        <w:rPr>
          <w:sz w:val="22"/>
        </w:rPr>
        <w:t xml:space="preserve">10 </w:t>
      </w:r>
      <w:r w:rsidRPr="005A249F">
        <w:rPr>
          <w:sz w:val="22"/>
        </w:rPr>
        <w:t>men (39</w:t>
      </w:r>
      <w:r w:rsidRPr="00B678F6">
        <w:rPr>
          <w:sz w:val="22"/>
        </w:rPr>
        <w:t>%).</w:t>
      </w:r>
      <w:r w:rsidR="00854D5B" w:rsidRPr="000C0BA6">
        <w:rPr>
          <w:sz w:val="22"/>
        </w:rPr>
        <w:fldChar w:fldCharType="begin"/>
      </w:r>
      <w:r w:rsidR="00854D5B" w:rsidRPr="000C0BA6">
        <w:rPr>
          <w:sz w:val="22"/>
        </w:rPr>
        <w:instrText xml:space="preserve"> NOTEREF _Ref74319608 \f \h </w:instrText>
      </w:r>
      <w:r w:rsidR="00854D5B">
        <w:rPr>
          <w:sz w:val="22"/>
        </w:rPr>
        <w:instrText xml:space="preserve"> \* MERGEFORMAT </w:instrText>
      </w:r>
      <w:r w:rsidR="00854D5B" w:rsidRPr="000C0BA6">
        <w:rPr>
          <w:sz w:val="22"/>
        </w:rPr>
      </w:r>
      <w:r w:rsidR="00854D5B" w:rsidRPr="000C0BA6">
        <w:rPr>
          <w:sz w:val="22"/>
        </w:rPr>
        <w:fldChar w:fldCharType="separate"/>
      </w:r>
      <w:r w:rsidR="005D0525" w:rsidRPr="005D0525">
        <w:rPr>
          <w:rStyle w:val="EndnoteReference"/>
          <w:sz w:val="22"/>
        </w:rPr>
        <w:t>6</w:t>
      </w:r>
      <w:r w:rsidR="00854D5B" w:rsidRPr="000C0BA6">
        <w:rPr>
          <w:sz w:val="22"/>
        </w:rPr>
        <w:fldChar w:fldCharType="end"/>
      </w:r>
    </w:p>
    <w:p w14:paraId="67BB1F15" w14:textId="22AB4B01" w:rsidR="00D90856" w:rsidRDefault="005A249F" w:rsidP="00EF0F1D">
      <w:pPr>
        <w:pStyle w:val="ListParagraph"/>
        <w:numPr>
          <w:ilvl w:val="1"/>
          <w:numId w:val="36"/>
        </w:numPr>
        <w:spacing w:after="120"/>
        <w:ind w:left="782" w:hanging="357"/>
        <w:contextualSpacing w:val="0"/>
        <w:rPr>
          <w:sz w:val="22"/>
        </w:rPr>
      </w:pPr>
      <w:r w:rsidRPr="005A249F">
        <w:rPr>
          <w:sz w:val="22"/>
        </w:rPr>
        <w:t>3 out of every 10 women (26%) report chronic neck or shoulder pain, compared to 2 out of every 10 men (21</w:t>
      </w:r>
      <w:r w:rsidRPr="00B678F6">
        <w:rPr>
          <w:sz w:val="22"/>
        </w:rPr>
        <w:t>%).</w:t>
      </w:r>
      <w:r w:rsidR="00854D5B" w:rsidRPr="000C0BA6">
        <w:rPr>
          <w:sz w:val="22"/>
        </w:rPr>
        <w:fldChar w:fldCharType="begin"/>
      </w:r>
      <w:r w:rsidR="00854D5B" w:rsidRPr="000C0BA6">
        <w:rPr>
          <w:sz w:val="22"/>
        </w:rPr>
        <w:instrText xml:space="preserve"> NOTEREF _Ref74319608 \f \h </w:instrText>
      </w:r>
      <w:r w:rsidR="00854D5B">
        <w:rPr>
          <w:sz w:val="22"/>
        </w:rPr>
        <w:instrText xml:space="preserve"> \* MERGEFORMAT </w:instrText>
      </w:r>
      <w:r w:rsidR="00854D5B" w:rsidRPr="000C0BA6">
        <w:rPr>
          <w:sz w:val="22"/>
        </w:rPr>
      </w:r>
      <w:r w:rsidR="00854D5B" w:rsidRPr="000C0BA6">
        <w:rPr>
          <w:sz w:val="22"/>
        </w:rPr>
        <w:fldChar w:fldCharType="separate"/>
      </w:r>
      <w:r w:rsidR="005D0525" w:rsidRPr="005D0525">
        <w:rPr>
          <w:rStyle w:val="EndnoteReference"/>
          <w:sz w:val="22"/>
        </w:rPr>
        <w:t>6</w:t>
      </w:r>
      <w:r w:rsidR="00854D5B" w:rsidRPr="000C0BA6">
        <w:rPr>
          <w:sz w:val="22"/>
        </w:rPr>
        <w:fldChar w:fldCharType="end"/>
      </w:r>
    </w:p>
    <w:p w14:paraId="24C031F5" w14:textId="7D072976" w:rsidR="00424595" w:rsidRDefault="003F3BF6" w:rsidP="006E3012">
      <w:pPr>
        <w:pStyle w:val="ListParagraph"/>
        <w:numPr>
          <w:ilvl w:val="0"/>
          <w:numId w:val="15"/>
        </w:numPr>
        <w:spacing w:after="0"/>
        <w:ind w:left="357" w:hanging="357"/>
        <w:contextualSpacing w:val="0"/>
        <w:rPr>
          <w:sz w:val="22"/>
        </w:rPr>
      </w:pPr>
      <w:r w:rsidRPr="00C566EB">
        <w:rPr>
          <w:sz w:val="22"/>
        </w:rPr>
        <w:t xml:space="preserve">Chronic pain is </w:t>
      </w:r>
      <w:r>
        <w:rPr>
          <w:sz w:val="22"/>
        </w:rPr>
        <w:t xml:space="preserve">also </w:t>
      </w:r>
      <w:r w:rsidRPr="00C566EB">
        <w:rPr>
          <w:sz w:val="22"/>
        </w:rPr>
        <w:t>more common among women</w:t>
      </w:r>
      <w:r>
        <w:rPr>
          <w:sz w:val="22"/>
        </w:rPr>
        <w:t xml:space="preserve"> throughout the life course</w:t>
      </w:r>
      <w:r w:rsidR="00424595" w:rsidRPr="004068CB">
        <w:rPr>
          <w:sz w:val="22"/>
        </w:rPr>
        <w:t>:</w:t>
      </w:r>
      <w:r w:rsidR="00854D5B" w:rsidRPr="00854D5B">
        <w:rPr>
          <w:sz w:val="22"/>
        </w:rPr>
        <w:t xml:space="preserve"> </w:t>
      </w:r>
      <w:r w:rsidR="00854D5B" w:rsidRPr="000C0BA6">
        <w:rPr>
          <w:sz w:val="22"/>
        </w:rPr>
        <w:fldChar w:fldCharType="begin"/>
      </w:r>
      <w:r w:rsidR="00854D5B" w:rsidRPr="000C0BA6">
        <w:rPr>
          <w:sz w:val="22"/>
        </w:rPr>
        <w:instrText xml:space="preserve"> NOTEREF _Ref74319608 \f \h </w:instrText>
      </w:r>
      <w:r w:rsidR="00854D5B">
        <w:rPr>
          <w:sz w:val="22"/>
        </w:rPr>
        <w:instrText xml:space="preserve"> \* MERGEFORMAT </w:instrText>
      </w:r>
      <w:r w:rsidR="00854D5B" w:rsidRPr="000C0BA6">
        <w:rPr>
          <w:sz w:val="22"/>
        </w:rPr>
      </w:r>
      <w:r w:rsidR="00854D5B" w:rsidRPr="000C0BA6">
        <w:rPr>
          <w:sz w:val="22"/>
        </w:rPr>
        <w:fldChar w:fldCharType="separate"/>
      </w:r>
      <w:r w:rsidR="005D0525" w:rsidRPr="005D0525">
        <w:rPr>
          <w:rStyle w:val="EndnoteReference"/>
          <w:sz w:val="22"/>
        </w:rPr>
        <w:t>6</w:t>
      </w:r>
      <w:r w:rsidR="00854D5B" w:rsidRPr="000C0BA6">
        <w:rPr>
          <w:sz w:val="22"/>
        </w:rPr>
        <w:fldChar w:fldCharType="end"/>
      </w:r>
    </w:p>
    <w:p w14:paraId="3F4109D8" w14:textId="3EBFD9D9" w:rsidR="003F3BF6" w:rsidRDefault="008B6822" w:rsidP="006E3012">
      <w:pPr>
        <w:pStyle w:val="ListParagraph"/>
        <w:numPr>
          <w:ilvl w:val="0"/>
          <w:numId w:val="3"/>
        </w:numPr>
        <w:spacing w:after="120"/>
        <w:rPr>
          <w:sz w:val="22"/>
        </w:rPr>
      </w:pPr>
      <w:r>
        <w:rPr>
          <w:sz w:val="22"/>
        </w:rPr>
        <w:t>22% of women aged 16-34 report chronic pain, compared to 13% of men</w:t>
      </w:r>
      <w:r w:rsidR="004802B2">
        <w:rPr>
          <w:sz w:val="22"/>
        </w:rPr>
        <w:t>.</w:t>
      </w:r>
    </w:p>
    <w:p w14:paraId="75DAB57F" w14:textId="6C626F10" w:rsidR="004802B2" w:rsidRDefault="004802B2" w:rsidP="006E3012">
      <w:pPr>
        <w:pStyle w:val="ListParagraph"/>
        <w:numPr>
          <w:ilvl w:val="0"/>
          <w:numId w:val="3"/>
        </w:numPr>
        <w:spacing w:after="120"/>
        <w:rPr>
          <w:sz w:val="22"/>
        </w:rPr>
      </w:pPr>
      <w:r>
        <w:rPr>
          <w:sz w:val="22"/>
        </w:rPr>
        <w:t>33% of women aged 35-44 report chronic pain, compared to 37% of men.</w:t>
      </w:r>
    </w:p>
    <w:p w14:paraId="4B9BC784" w14:textId="5B12C4A1" w:rsidR="004802B2" w:rsidRDefault="004802B2" w:rsidP="006E3012">
      <w:pPr>
        <w:pStyle w:val="ListParagraph"/>
        <w:numPr>
          <w:ilvl w:val="0"/>
          <w:numId w:val="3"/>
        </w:numPr>
        <w:spacing w:after="120"/>
        <w:rPr>
          <w:sz w:val="22"/>
        </w:rPr>
      </w:pPr>
      <w:r>
        <w:rPr>
          <w:sz w:val="22"/>
        </w:rPr>
        <w:t>46% of women aged 55-64 report chronic pain, compared to 40% of men.</w:t>
      </w:r>
    </w:p>
    <w:p w14:paraId="5A2606F8" w14:textId="68847DC7" w:rsidR="009C7D51" w:rsidRDefault="009C7D51" w:rsidP="006E3012">
      <w:pPr>
        <w:pStyle w:val="ListParagraph"/>
        <w:numPr>
          <w:ilvl w:val="0"/>
          <w:numId w:val="3"/>
        </w:numPr>
        <w:spacing w:after="120"/>
        <w:rPr>
          <w:sz w:val="22"/>
        </w:rPr>
      </w:pPr>
      <w:r>
        <w:rPr>
          <w:sz w:val="22"/>
        </w:rPr>
        <w:t>52% of women aged 65-74 report chronic pain, compared to 47% of men.</w:t>
      </w:r>
    </w:p>
    <w:p w14:paraId="1EB87B7F" w14:textId="7D47C3C5" w:rsidR="00934198" w:rsidRDefault="006E3012" w:rsidP="004D0B22">
      <w:pPr>
        <w:pStyle w:val="ListParagraph"/>
        <w:numPr>
          <w:ilvl w:val="0"/>
          <w:numId w:val="3"/>
        </w:numPr>
        <w:spacing w:after="120"/>
        <w:ind w:left="714" w:hanging="357"/>
        <w:contextualSpacing w:val="0"/>
        <w:rPr>
          <w:sz w:val="22"/>
        </w:rPr>
      </w:pPr>
      <w:r>
        <w:rPr>
          <w:sz w:val="22"/>
        </w:rPr>
        <w:lastRenderedPageBreak/>
        <w:t>57</w:t>
      </w:r>
      <w:r w:rsidR="009C7D51">
        <w:rPr>
          <w:sz w:val="22"/>
        </w:rPr>
        <w:t xml:space="preserve">% of women over </w:t>
      </w:r>
      <w:r>
        <w:rPr>
          <w:sz w:val="22"/>
        </w:rPr>
        <w:t>75</w:t>
      </w:r>
      <w:r w:rsidR="009C7D51">
        <w:rPr>
          <w:sz w:val="22"/>
        </w:rPr>
        <w:t xml:space="preserve"> report chronic pain, compared to </w:t>
      </w:r>
      <w:r>
        <w:rPr>
          <w:sz w:val="22"/>
        </w:rPr>
        <w:t>4</w:t>
      </w:r>
      <w:r w:rsidR="009C7D51">
        <w:rPr>
          <w:sz w:val="22"/>
        </w:rPr>
        <w:t>7% of men.</w:t>
      </w:r>
    </w:p>
    <w:p w14:paraId="7201D68F" w14:textId="0CE295FF" w:rsidR="008A010B" w:rsidRPr="001A2C10" w:rsidRDefault="008A010B" w:rsidP="004D0B22">
      <w:pPr>
        <w:pStyle w:val="ListParagraph"/>
        <w:numPr>
          <w:ilvl w:val="0"/>
          <w:numId w:val="15"/>
        </w:numPr>
        <w:spacing w:after="120"/>
        <w:ind w:left="357" w:hanging="357"/>
        <w:contextualSpacing w:val="0"/>
        <w:rPr>
          <w:sz w:val="22"/>
        </w:rPr>
      </w:pPr>
      <w:r w:rsidRPr="001A2C10">
        <w:rPr>
          <w:sz w:val="22"/>
        </w:rPr>
        <w:t>Chronic pain is also more</w:t>
      </w:r>
      <w:r w:rsidR="00A973BC" w:rsidRPr="001A2C10">
        <w:rPr>
          <w:sz w:val="22"/>
        </w:rPr>
        <w:t xml:space="preserve"> common in areas of greater deprivation and</w:t>
      </w:r>
      <w:r w:rsidR="00A95886" w:rsidRPr="001A2C10">
        <w:rPr>
          <w:sz w:val="22"/>
        </w:rPr>
        <w:t xml:space="preserve"> is</w:t>
      </w:r>
      <w:r w:rsidR="00A973BC" w:rsidRPr="001A2C10">
        <w:rPr>
          <w:sz w:val="22"/>
        </w:rPr>
        <w:t xml:space="preserve"> more</w:t>
      </w:r>
      <w:r w:rsidRPr="001A2C10">
        <w:rPr>
          <w:sz w:val="22"/>
        </w:rPr>
        <w:t xml:space="preserve"> likely to </w:t>
      </w:r>
      <w:r w:rsidR="000412E4" w:rsidRPr="001A2C10">
        <w:rPr>
          <w:sz w:val="22"/>
        </w:rPr>
        <w:t xml:space="preserve">be </w:t>
      </w:r>
      <w:r w:rsidR="00395BDB" w:rsidRPr="001A2C10">
        <w:rPr>
          <w:sz w:val="22"/>
        </w:rPr>
        <w:t xml:space="preserve">reported </w:t>
      </w:r>
      <w:r w:rsidR="000412E4" w:rsidRPr="001A2C10">
        <w:rPr>
          <w:sz w:val="22"/>
        </w:rPr>
        <w:t xml:space="preserve">by </w:t>
      </w:r>
      <w:r w:rsidR="00A95886" w:rsidRPr="001A2C10">
        <w:rPr>
          <w:sz w:val="22"/>
        </w:rPr>
        <w:t>black people,</w:t>
      </w:r>
      <w:r w:rsidR="003F7BAA" w:rsidRPr="001A2C10">
        <w:rPr>
          <w:sz w:val="22"/>
        </w:rPr>
        <w:t xml:space="preserve"> while people </w:t>
      </w:r>
      <w:r w:rsidR="00395BDB" w:rsidRPr="001A2C10">
        <w:rPr>
          <w:sz w:val="22"/>
        </w:rPr>
        <w:t>living with</w:t>
      </w:r>
      <w:r w:rsidR="003F7BAA" w:rsidRPr="001A2C10">
        <w:rPr>
          <w:sz w:val="22"/>
        </w:rPr>
        <w:t xml:space="preserve"> chronic pain who describe themselves as Asian </w:t>
      </w:r>
      <w:r w:rsidR="002F50DF" w:rsidRPr="001A2C10">
        <w:rPr>
          <w:sz w:val="22"/>
        </w:rPr>
        <w:t>are more likely to report high-impact chronic pain</w:t>
      </w:r>
      <w:r w:rsidR="00846FFE" w:rsidRPr="001A2C10">
        <w:rPr>
          <w:sz w:val="22"/>
        </w:rPr>
        <w:t xml:space="preserve"> compared to other </w:t>
      </w:r>
      <w:r w:rsidR="00037A49" w:rsidRPr="001A2C10">
        <w:rPr>
          <w:sz w:val="22"/>
        </w:rPr>
        <w:t>ethnicities</w:t>
      </w:r>
      <w:r w:rsidR="002F50DF" w:rsidRPr="001A2C10">
        <w:rPr>
          <w:sz w:val="22"/>
        </w:rPr>
        <w:t>.</w:t>
      </w:r>
      <w:r w:rsidR="00854D5B" w:rsidRPr="000C0BA6">
        <w:rPr>
          <w:sz w:val="22"/>
        </w:rPr>
        <w:fldChar w:fldCharType="begin"/>
      </w:r>
      <w:r w:rsidR="00854D5B" w:rsidRPr="000C0BA6">
        <w:rPr>
          <w:sz w:val="22"/>
        </w:rPr>
        <w:instrText xml:space="preserve"> NOTEREF _Ref74319608 \f \h </w:instrText>
      </w:r>
      <w:r w:rsidR="00854D5B">
        <w:rPr>
          <w:sz w:val="22"/>
        </w:rPr>
        <w:instrText xml:space="preserve"> \* MERGEFORMAT </w:instrText>
      </w:r>
      <w:r w:rsidR="00854D5B" w:rsidRPr="000C0BA6">
        <w:rPr>
          <w:sz w:val="22"/>
        </w:rPr>
      </w:r>
      <w:r w:rsidR="00854D5B" w:rsidRPr="000C0BA6">
        <w:rPr>
          <w:sz w:val="22"/>
        </w:rPr>
        <w:fldChar w:fldCharType="separate"/>
      </w:r>
      <w:r w:rsidR="005D0525" w:rsidRPr="005D0525">
        <w:rPr>
          <w:rStyle w:val="EndnoteReference"/>
          <w:sz w:val="22"/>
        </w:rPr>
        <w:t>6</w:t>
      </w:r>
      <w:r w:rsidR="00854D5B" w:rsidRPr="000C0BA6">
        <w:rPr>
          <w:sz w:val="22"/>
        </w:rPr>
        <w:fldChar w:fldCharType="end"/>
      </w:r>
      <w:r w:rsidR="00854D5B" w:rsidRPr="001A2C10">
        <w:rPr>
          <w:sz w:val="22"/>
        </w:rPr>
        <w:t xml:space="preserve"> </w:t>
      </w:r>
      <w:r w:rsidR="002F50DF" w:rsidRPr="001A2C10">
        <w:rPr>
          <w:sz w:val="22"/>
        </w:rPr>
        <w:t xml:space="preserve">These </w:t>
      </w:r>
      <w:r w:rsidR="00037A49" w:rsidRPr="001A2C10">
        <w:rPr>
          <w:sz w:val="22"/>
        </w:rPr>
        <w:t xml:space="preserve">dynamics </w:t>
      </w:r>
      <w:r w:rsidR="00A4694E" w:rsidRPr="001A2C10">
        <w:rPr>
          <w:sz w:val="22"/>
        </w:rPr>
        <w:t>illustrate the importance of taking a nuanced</w:t>
      </w:r>
      <w:r w:rsidR="006D2308" w:rsidRPr="001A2C10">
        <w:rPr>
          <w:sz w:val="22"/>
        </w:rPr>
        <w:t xml:space="preserve"> and</w:t>
      </w:r>
      <w:r w:rsidR="00A4694E" w:rsidRPr="001A2C10">
        <w:rPr>
          <w:sz w:val="22"/>
        </w:rPr>
        <w:t xml:space="preserve"> intersectional approach </w:t>
      </w:r>
      <w:r w:rsidR="003D012E" w:rsidRPr="001A2C10">
        <w:rPr>
          <w:sz w:val="22"/>
        </w:rPr>
        <w:t>to improving women’s health</w:t>
      </w:r>
      <w:r w:rsidR="00B4287E" w:rsidRPr="001A2C10">
        <w:rPr>
          <w:sz w:val="22"/>
        </w:rPr>
        <w:t>,</w:t>
      </w:r>
      <w:r w:rsidR="003D012E" w:rsidRPr="001A2C10">
        <w:rPr>
          <w:sz w:val="22"/>
        </w:rPr>
        <w:t xml:space="preserve"> </w:t>
      </w:r>
      <w:r w:rsidR="00B85FD7" w:rsidRPr="001A2C10">
        <w:rPr>
          <w:sz w:val="22"/>
        </w:rPr>
        <w:t xml:space="preserve">including women </w:t>
      </w:r>
      <w:r w:rsidR="004F0D95" w:rsidRPr="001A2C10">
        <w:rPr>
          <w:sz w:val="22"/>
        </w:rPr>
        <w:t xml:space="preserve">from ethnic minority communities, </w:t>
      </w:r>
      <w:r w:rsidR="003B25BC" w:rsidRPr="001A2C10">
        <w:rPr>
          <w:sz w:val="22"/>
        </w:rPr>
        <w:t xml:space="preserve">in order to support women with more than one </w:t>
      </w:r>
      <w:r w:rsidR="004B71D3" w:rsidRPr="001A2C10">
        <w:rPr>
          <w:sz w:val="22"/>
        </w:rPr>
        <w:t xml:space="preserve">protected </w:t>
      </w:r>
      <w:r w:rsidR="003B25BC" w:rsidRPr="001A2C10">
        <w:rPr>
          <w:sz w:val="22"/>
        </w:rPr>
        <w:t xml:space="preserve">characteristic. </w:t>
      </w:r>
      <w:r w:rsidR="002F50DF" w:rsidRPr="001A2C10">
        <w:rPr>
          <w:sz w:val="22"/>
        </w:rPr>
        <w:t xml:space="preserve"> </w:t>
      </w:r>
      <w:r w:rsidR="00A95886" w:rsidRPr="001A2C10">
        <w:rPr>
          <w:sz w:val="22"/>
        </w:rPr>
        <w:t xml:space="preserve"> </w:t>
      </w:r>
    </w:p>
    <w:p w14:paraId="452E54E7" w14:textId="1F67645A" w:rsidR="006E3012" w:rsidRPr="001A2C10" w:rsidRDefault="006F345E" w:rsidP="004D0B22">
      <w:pPr>
        <w:pStyle w:val="ListParagraph"/>
        <w:numPr>
          <w:ilvl w:val="0"/>
          <w:numId w:val="15"/>
        </w:numPr>
        <w:spacing w:after="120"/>
        <w:ind w:left="357" w:hanging="357"/>
        <w:contextualSpacing w:val="0"/>
        <w:rPr>
          <w:sz w:val="22"/>
        </w:rPr>
      </w:pPr>
      <w:r w:rsidRPr="001A2C10">
        <w:rPr>
          <w:sz w:val="22"/>
        </w:rPr>
        <w:t xml:space="preserve">The disparity </w:t>
      </w:r>
      <w:r w:rsidR="004D0B22" w:rsidRPr="001A2C10">
        <w:rPr>
          <w:sz w:val="22"/>
        </w:rPr>
        <w:t>between</w:t>
      </w:r>
      <w:r w:rsidR="00CB40C4" w:rsidRPr="001A2C10">
        <w:rPr>
          <w:sz w:val="22"/>
        </w:rPr>
        <w:t xml:space="preserve"> both the</w:t>
      </w:r>
      <w:r w:rsidR="004D0B22" w:rsidRPr="001A2C10">
        <w:rPr>
          <w:sz w:val="22"/>
        </w:rPr>
        <w:t xml:space="preserve"> reported</w:t>
      </w:r>
      <w:r w:rsidR="00F863F4" w:rsidRPr="001A2C10">
        <w:rPr>
          <w:sz w:val="22"/>
        </w:rPr>
        <w:t xml:space="preserve"> </w:t>
      </w:r>
      <w:r w:rsidR="00631BDB" w:rsidRPr="001A2C10">
        <w:rPr>
          <w:sz w:val="22"/>
        </w:rPr>
        <w:t>levels</w:t>
      </w:r>
      <w:r w:rsidR="00F863F4" w:rsidRPr="001A2C10">
        <w:rPr>
          <w:sz w:val="22"/>
        </w:rPr>
        <w:t xml:space="preserve"> and</w:t>
      </w:r>
      <w:r w:rsidR="00CB40C4" w:rsidRPr="001A2C10">
        <w:rPr>
          <w:sz w:val="22"/>
        </w:rPr>
        <w:t xml:space="preserve"> the</w:t>
      </w:r>
      <w:r w:rsidR="00F863F4" w:rsidRPr="001A2C10">
        <w:rPr>
          <w:sz w:val="22"/>
        </w:rPr>
        <w:t xml:space="preserve"> impact of chronic pain</w:t>
      </w:r>
      <w:r w:rsidR="00CA5C7A" w:rsidRPr="001A2C10">
        <w:rPr>
          <w:sz w:val="22"/>
        </w:rPr>
        <w:t xml:space="preserve"> </w:t>
      </w:r>
      <w:r w:rsidR="00CB40C4" w:rsidRPr="001A2C10">
        <w:rPr>
          <w:sz w:val="22"/>
        </w:rPr>
        <w:t xml:space="preserve">in </w:t>
      </w:r>
      <w:r w:rsidR="00CA5C7A" w:rsidRPr="001A2C10">
        <w:rPr>
          <w:sz w:val="22"/>
        </w:rPr>
        <w:t xml:space="preserve">men and women </w:t>
      </w:r>
      <w:r w:rsidRPr="001A2C10">
        <w:rPr>
          <w:sz w:val="22"/>
        </w:rPr>
        <w:t>can be explain</w:t>
      </w:r>
      <w:r w:rsidR="00F863F4" w:rsidRPr="001A2C10">
        <w:rPr>
          <w:sz w:val="22"/>
        </w:rPr>
        <w:t>ed</w:t>
      </w:r>
      <w:r w:rsidR="00B839F0" w:rsidRPr="001A2C10">
        <w:rPr>
          <w:sz w:val="22"/>
        </w:rPr>
        <w:t xml:space="preserve"> </w:t>
      </w:r>
      <w:r w:rsidR="00BC6E7E" w:rsidRPr="001A2C10">
        <w:rPr>
          <w:sz w:val="22"/>
        </w:rPr>
        <w:t xml:space="preserve">to some extent </w:t>
      </w:r>
      <w:r w:rsidR="00B839F0" w:rsidRPr="001A2C10">
        <w:rPr>
          <w:sz w:val="22"/>
        </w:rPr>
        <w:t xml:space="preserve">by the </w:t>
      </w:r>
      <w:r w:rsidR="00631BDB" w:rsidRPr="001A2C10">
        <w:rPr>
          <w:sz w:val="22"/>
        </w:rPr>
        <w:t xml:space="preserve">higher prevalence of musculoskeletal </w:t>
      </w:r>
      <w:r w:rsidR="0063329E" w:rsidRPr="001A2C10">
        <w:rPr>
          <w:sz w:val="22"/>
        </w:rPr>
        <w:t>conditions</w:t>
      </w:r>
      <w:r w:rsidR="000A47F0" w:rsidRPr="001A2C10">
        <w:rPr>
          <w:sz w:val="22"/>
        </w:rPr>
        <w:t xml:space="preserve"> and their associated risk factors</w:t>
      </w:r>
      <w:r w:rsidR="0063329E" w:rsidRPr="001A2C10">
        <w:rPr>
          <w:sz w:val="22"/>
        </w:rPr>
        <w:t xml:space="preserve"> in women, as previously outlined. </w:t>
      </w:r>
      <w:r w:rsidR="000A47F0" w:rsidRPr="001A2C10">
        <w:rPr>
          <w:sz w:val="22"/>
        </w:rPr>
        <w:t>Additionally</w:t>
      </w:r>
      <w:r w:rsidR="00015906" w:rsidRPr="001A2C10">
        <w:rPr>
          <w:sz w:val="22"/>
        </w:rPr>
        <w:t>,</w:t>
      </w:r>
      <w:r w:rsidR="000A47F0" w:rsidRPr="001A2C10">
        <w:rPr>
          <w:sz w:val="22"/>
        </w:rPr>
        <w:t xml:space="preserve"> there are some other non-musculoskeletal conditions</w:t>
      </w:r>
      <w:r w:rsidR="004D0B22" w:rsidRPr="001A2C10">
        <w:rPr>
          <w:sz w:val="22"/>
        </w:rPr>
        <w:t xml:space="preserve"> </w:t>
      </w:r>
      <w:r w:rsidR="00FE11FD" w:rsidRPr="001A2C10">
        <w:rPr>
          <w:sz w:val="22"/>
        </w:rPr>
        <w:t>that</w:t>
      </w:r>
      <w:r w:rsidR="004D0B22" w:rsidRPr="001A2C10">
        <w:rPr>
          <w:sz w:val="22"/>
        </w:rPr>
        <w:t xml:space="preserve"> cause chronic pain</w:t>
      </w:r>
      <w:r w:rsidR="000A47F0" w:rsidRPr="001A2C10">
        <w:rPr>
          <w:sz w:val="22"/>
        </w:rPr>
        <w:t>,</w:t>
      </w:r>
      <w:r w:rsidR="004D0B22" w:rsidRPr="001A2C10">
        <w:rPr>
          <w:sz w:val="22"/>
        </w:rPr>
        <w:t xml:space="preserve"> such as endometriosis, which also primarily affect women.</w:t>
      </w:r>
      <w:r w:rsidR="00C13AD7" w:rsidRPr="000C0BA6">
        <w:rPr>
          <w:sz w:val="22"/>
        </w:rPr>
        <w:fldChar w:fldCharType="begin"/>
      </w:r>
      <w:r w:rsidR="00C13AD7" w:rsidRPr="000C0BA6">
        <w:rPr>
          <w:sz w:val="22"/>
        </w:rPr>
        <w:instrText xml:space="preserve"> NOTEREF _Ref74321895 \f \h </w:instrText>
      </w:r>
      <w:r w:rsidR="00C13AD7">
        <w:rPr>
          <w:sz w:val="22"/>
        </w:rPr>
        <w:instrText xml:space="preserve"> \* MERGEFORMAT </w:instrText>
      </w:r>
      <w:r w:rsidR="00C13AD7" w:rsidRPr="000C0BA6">
        <w:rPr>
          <w:sz w:val="22"/>
        </w:rPr>
      </w:r>
      <w:r w:rsidR="00C13AD7" w:rsidRPr="000C0BA6">
        <w:rPr>
          <w:sz w:val="22"/>
        </w:rPr>
        <w:fldChar w:fldCharType="separate"/>
      </w:r>
      <w:r w:rsidR="005D0525" w:rsidRPr="005D0525">
        <w:rPr>
          <w:rStyle w:val="EndnoteReference"/>
          <w:sz w:val="22"/>
        </w:rPr>
        <w:t>18</w:t>
      </w:r>
      <w:r w:rsidR="00C13AD7" w:rsidRPr="000C0BA6">
        <w:rPr>
          <w:sz w:val="22"/>
        </w:rPr>
        <w:fldChar w:fldCharType="end"/>
      </w:r>
    </w:p>
    <w:p w14:paraId="68905B2D" w14:textId="71E044D3" w:rsidR="004D0B22" w:rsidRPr="001A2C10" w:rsidRDefault="00FE11FD" w:rsidP="004D0B22">
      <w:pPr>
        <w:pStyle w:val="ListParagraph"/>
        <w:numPr>
          <w:ilvl w:val="0"/>
          <w:numId w:val="15"/>
        </w:numPr>
        <w:spacing w:after="120"/>
        <w:ind w:left="357" w:hanging="357"/>
        <w:contextualSpacing w:val="0"/>
        <w:rPr>
          <w:sz w:val="22"/>
        </w:rPr>
      </w:pPr>
      <w:r w:rsidRPr="001A2C10">
        <w:rPr>
          <w:sz w:val="22"/>
        </w:rPr>
        <w:t>However,</w:t>
      </w:r>
      <w:r w:rsidR="00BC6E7E" w:rsidRPr="001A2C10">
        <w:rPr>
          <w:sz w:val="22"/>
        </w:rPr>
        <w:t xml:space="preserve"> underlying</w:t>
      </w:r>
      <w:r w:rsidRPr="001A2C10">
        <w:rPr>
          <w:sz w:val="22"/>
        </w:rPr>
        <w:t xml:space="preserve"> </w:t>
      </w:r>
      <w:r w:rsidR="00BC6E7E" w:rsidRPr="001A2C10">
        <w:rPr>
          <w:sz w:val="22"/>
        </w:rPr>
        <w:t>biological factors are only likely to provide a partial explanation</w:t>
      </w:r>
      <w:r w:rsidR="00DC0F75" w:rsidRPr="001A2C10">
        <w:rPr>
          <w:sz w:val="22"/>
        </w:rPr>
        <w:t xml:space="preserve"> for th</w:t>
      </w:r>
      <w:r w:rsidR="000103AF" w:rsidRPr="001A2C10">
        <w:rPr>
          <w:sz w:val="22"/>
        </w:rPr>
        <w:t xml:space="preserve">is level of </w:t>
      </w:r>
      <w:r w:rsidR="00297185" w:rsidRPr="001A2C10">
        <w:rPr>
          <w:sz w:val="22"/>
        </w:rPr>
        <w:t>disparity</w:t>
      </w:r>
      <w:r w:rsidR="00195B36" w:rsidRPr="001A2C10">
        <w:rPr>
          <w:sz w:val="22"/>
        </w:rPr>
        <w:t>, a</w:t>
      </w:r>
      <w:r w:rsidR="004766EC" w:rsidRPr="001A2C10">
        <w:rPr>
          <w:sz w:val="22"/>
        </w:rPr>
        <w:t xml:space="preserve">s there are </w:t>
      </w:r>
      <w:proofErr w:type="gramStart"/>
      <w:r w:rsidR="004766EC" w:rsidRPr="001A2C10">
        <w:rPr>
          <w:sz w:val="22"/>
        </w:rPr>
        <w:t>a number of</w:t>
      </w:r>
      <w:proofErr w:type="gramEnd"/>
      <w:r w:rsidR="004766EC" w:rsidRPr="001A2C10">
        <w:rPr>
          <w:sz w:val="22"/>
        </w:rPr>
        <w:t xml:space="preserve"> </w:t>
      </w:r>
      <w:r w:rsidR="00BE620B" w:rsidRPr="001A2C10">
        <w:rPr>
          <w:sz w:val="22"/>
        </w:rPr>
        <w:t>psycho</w:t>
      </w:r>
      <w:r w:rsidR="004766EC" w:rsidRPr="001A2C10">
        <w:rPr>
          <w:sz w:val="22"/>
        </w:rPr>
        <w:t xml:space="preserve">social </w:t>
      </w:r>
      <w:r w:rsidR="00BE620B" w:rsidRPr="001A2C10">
        <w:rPr>
          <w:sz w:val="22"/>
        </w:rPr>
        <w:t xml:space="preserve">factors </w:t>
      </w:r>
      <w:r w:rsidR="004A30C2" w:rsidRPr="001A2C10">
        <w:rPr>
          <w:sz w:val="22"/>
        </w:rPr>
        <w:t>which</w:t>
      </w:r>
      <w:r w:rsidR="000103AF" w:rsidRPr="001A2C10">
        <w:rPr>
          <w:sz w:val="22"/>
        </w:rPr>
        <w:t xml:space="preserve"> can</w:t>
      </w:r>
      <w:r w:rsidR="004A30C2" w:rsidRPr="001A2C10">
        <w:rPr>
          <w:sz w:val="22"/>
        </w:rPr>
        <w:t xml:space="preserve"> </w:t>
      </w:r>
      <w:r w:rsidR="004766EC" w:rsidRPr="001A2C10">
        <w:rPr>
          <w:sz w:val="22"/>
        </w:rPr>
        <w:t xml:space="preserve">also </w:t>
      </w:r>
      <w:r w:rsidR="004A30C2" w:rsidRPr="001A2C10">
        <w:rPr>
          <w:sz w:val="22"/>
        </w:rPr>
        <w:t xml:space="preserve">increase an individual’s risk of </w:t>
      </w:r>
      <w:r w:rsidR="000103AF" w:rsidRPr="001A2C10">
        <w:rPr>
          <w:sz w:val="22"/>
        </w:rPr>
        <w:t xml:space="preserve">developing </w:t>
      </w:r>
      <w:r w:rsidR="004A30C2" w:rsidRPr="001A2C10">
        <w:rPr>
          <w:sz w:val="22"/>
        </w:rPr>
        <w:t>chronic</w:t>
      </w:r>
      <w:r w:rsidR="004B3A82" w:rsidRPr="001A2C10">
        <w:rPr>
          <w:sz w:val="22"/>
        </w:rPr>
        <w:t xml:space="preserve"> musculoskeletal</w:t>
      </w:r>
      <w:r w:rsidR="004A30C2" w:rsidRPr="001A2C10">
        <w:rPr>
          <w:sz w:val="22"/>
        </w:rPr>
        <w:t xml:space="preserve"> pain.</w:t>
      </w:r>
      <w:r w:rsidR="00C13AD7" w:rsidRPr="000C0BA6">
        <w:rPr>
          <w:sz w:val="22"/>
        </w:rPr>
        <w:fldChar w:fldCharType="begin"/>
      </w:r>
      <w:r w:rsidR="00C13AD7" w:rsidRPr="000C0BA6">
        <w:rPr>
          <w:sz w:val="22"/>
        </w:rPr>
        <w:instrText xml:space="preserve"> NOTEREF _Ref74321895 \f \h </w:instrText>
      </w:r>
      <w:r w:rsidR="00C13AD7">
        <w:rPr>
          <w:sz w:val="22"/>
        </w:rPr>
        <w:instrText xml:space="preserve"> \* MERGEFORMAT </w:instrText>
      </w:r>
      <w:r w:rsidR="00C13AD7" w:rsidRPr="000C0BA6">
        <w:rPr>
          <w:sz w:val="22"/>
        </w:rPr>
      </w:r>
      <w:r w:rsidR="00C13AD7" w:rsidRPr="000C0BA6">
        <w:rPr>
          <w:sz w:val="22"/>
        </w:rPr>
        <w:fldChar w:fldCharType="separate"/>
      </w:r>
      <w:r w:rsidR="005D0525" w:rsidRPr="005D0525">
        <w:rPr>
          <w:rStyle w:val="EndnoteReference"/>
          <w:sz w:val="22"/>
        </w:rPr>
        <w:t>18</w:t>
      </w:r>
      <w:r w:rsidR="00C13AD7" w:rsidRPr="000C0BA6">
        <w:rPr>
          <w:sz w:val="22"/>
        </w:rPr>
        <w:fldChar w:fldCharType="end"/>
      </w:r>
    </w:p>
    <w:p w14:paraId="6EDC7B94" w14:textId="4D775777" w:rsidR="00C14668" w:rsidRDefault="00195B36" w:rsidP="00C14668">
      <w:pPr>
        <w:pStyle w:val="ListParagraph"/>
        <w:numPr>
          <w:ilvl w:val="0"/>
          <w:numId w:val="15"/>
        </w:numPr>
        <w:spacing w:after="120"/>
        <w:ind w:left="357" w:hanging="357"/>
        <w:contextualSpacing w:val="0"/>
        <w:rPr>
          <w:sz w:val="22"/>
        </w:rPr>
      </w:pPr>
      <w:r w:rsidRPr="001A2C10">
        <w:rPr>
          <w:sz w:val="22"/>
        </w:rPr>
        <w:t xml:space="preserve">Adverse </w:t>
      </w:r>
      <w:r w:rsidR="004766EC" w:rsidRPr="001A2C10">
        <w:rPr>
          <w:sz w:val="22"/>
        </w:rPr>
        <w:t xml:space="preserve">social </w:t>
      </w:r>
      <w:r w:rsidR="00643B38" w:rsidRPr="001A2C10">
        <w:rPr>
          <w:sz w:val="22"/>
        </w:rPr>
        <w:t xml:space="preserve">experiences </w:t>
      </w:r>
      <w:r w:rsidR="003800BF" w:rsidRPr="001A2C10">
        <w:rPr>
          <w:sz w:val="22"/>
        </w:rPr>
        <w:t xml:space="preserve">and stressors </w:t>
      </w:r>
      <w:r w:rsidR="002C281F" w:rsidRPr="001A2C10">
        <w:rPr>
          <w:sz w:val="22"/>
        </w:rPr>
        <w:t>that</w:t>
      </w:r>
      <w:r w:rsidR="004A1098" w:rsidRPr="001A2C10">
        <w:rPr>
          <w:sz w:val="22"/>
        </w:rPr>
        <w:t xml:space="preserve"> disproportionately impact women</w:t>
      </w:r>
      <w:r w:rsidR="00643B38" w:rsidRPr="001A2C10">
        <w:rPr>
          <w:sz w:val="22"/>
        </w:rPr>
        <w:t>,</w:t>
      </w:r>
      <w:r w:rsidR="002C281F" w:rsidRPr="001A2C10">
        <w:rPr>
          <w:sz w:val="22"/>
        </w:rPr>
        <w:t xml:space="preserve"> </w:t>
      </w:r>
      <w:r w:rsidR="007C309C" w:rsidRPr="001A2C10">
        <w:rPr>
          <w:sz w:val="22"/>
        </w:rPr>
        <w:t>including experiencing poverty</w:t>
      </w:r>
      <w:r w:rsidR="002C281F" w:rsidRPr="001A2C10">
        <w:rPr>
          <w:sz w:val="22"/>
        </w:rPr>
        <w:t xml:space="preserve"> or</w:t>
      </w:r>
      <w:r w:rsidR="00643B38" w:rsidRPr="001A2C10">
        <w:rPr>
          <w:sz w:val="22"/>
        </w:rPr>
        <w:t xml:space="preserve"> </w:t>
      </w:r>
      <w:r w:rsidR="004A1098" w:rsidRPr="001A2C10">
        <w:rPr>
          <w:sz w:val="22"/>
        </w:rPr>
        <w:t>gender-based violence</w:t>
      </w:r>
      <w:r w:rsidR="00BF263C" w:rsidRPr="001A2C10">
        <w:rPr>
          <w:sz w:val="22"/>
        </w:rPr>
        <w:t xml:space="preserve">, may put women </w:t>
      </w:r>
      <w:r w:rsidR="00EB7C73" w:rsidRPr="001A2C10">
        <w:rPr>
          <w:sz w:val="22"/>
        </w:rPr>
        <w:t xml:space="preserve">at higher risk of </w:t>
      </w:r>
      <w:r w:rsidR="009B4F6E" w:rsidRPr="001A2C10">
        <w:rPr>
          <w:sz w:val="22"/>
        </w:rPr>
        <w:t xml:space="preserve">developing </w:t>
      </w:r>
      <w:r w:rsidR="00EB7C73" w:rsidRPr="001A2C10">
        <w:rPr>
          <w:sz w:val="22"/>
        </w:rPr>
        <w:t>chronic pain</w:t>
      </w:r>
      <w:r w:rsidR="009B4F6E" w:rsidRPr="001A2C10">
        <w:rPr>
          <w:sz w:val="22"/>
        </w:rPr>
        <w:t>,</w:t>
      </w:r>
      <w:r w:rsidR="00AF3145" w:rsidRPr="001A2C10">
        <w:rPr>
          <w:sz w:val="22"/>
        </w:rPr>
        <w:t xml:space="preserve"> possibly </w:t>
      </w:r>
      <w:r w:rsidR="00354E93" w:rsidRPr="001A2C10">
        <w:rPr>
          <w:sz w:val="22"/>
        </w:rPr>
        <w:t xml:space="preserve">due to the </w:t>
      </w:r>
      <w:r w:rsidR="00AF3145" w:rsidRPr="001A2C10">
        <w:rPr>
          <w:sz w:val="22"/>
        </w:rPr>
        <w:t xml:space="preserve">link </w:t>
      </w:r>
      <w:r w:rsidR="00354E93" w:rsidRPr="001A2C10">
        <w:rPr>
          <w:sz w:val="22"/>
        </w:rPr>
        <w:t xml:space="preserve">between </w:t>
      </w:r>
      <w:r w:rsidR="00755E8A" w:rsidRPr="001A2C10">
        <w:rPr>
          <w:sz w:val="22"/>
        </w:rPr>
        <w:t xml:space="preserve">experiencing </w:t>
      </w:r>
      <w:r w:rsidR="00A01EDF" w:rsidRPr="001A2C10">
        <w:rPr>
          <w:sz w:val="22"/>
        </w:rPr>
        <w:t>chronic stress and pain.</w:t>
      </w:r>
      <w:r w:rsidR="000579E8" w:rsidRPr="000C0BA6">
        <w:rPr>
          <w:sz w:val="22"/>
        </w:rPr>
        <w:fldChar w:fldCharType="begin"/>
      </w:r>
      <w:r w:rsidR="000579E8" w:rsidRPr="000C0BA6">
        <w:rPr>
          <w:sz w:val="22"/>
        </w:rPr>
        <w:instrText xml:space="preserve"> NOTEREF _Ref74321895 \f \h </w:instrText>
      </w:r>
      <w:r w:rsidR="000579E8">
        <w:rPr>
          <w:sz w:val="22"/>
        </w:rPr>
        <w:instrText xml:space="preserve"> \* MERGEFORMAT </w:instrText>
      </w:r>
      <w:r w:rsidR="000579E8" w:rsidRPr="000C0BA6">
        <w:rPr>
          <w:sz w:val="22"/>
        </w:rPr>
      </w:r>
      <w:r w:rsidR="000579E8" w:rsidRPr="000C0BA6">
        <w:rPr>
          <w:sz w:val="22"/>
        </w:rPr>
        <w:fldChar w:fldCharType="separate"/>
      </w:r>
      <w:r w:rsidR="005D0525" w:rsidRPr="005D0525">
        <w:rPr>
          <w:rStyle w:val="EndnoteReference"/>
          <w:sz w:val="22"/>
        </w:rPr>
        <w:t>18</w:t>
      </w:r>
      <w:r w:rsidR="000579E8" w:rsidRPr="000C0BA6">
        <w:rPr>
          <w:sz w:val="22"/>
        </w:rPr>
        <w:fldChar w:fldCharType="end"/>
      </w:r>
      <w:r w:rsidR="000579E8">
        <w:rPr>
          <w:sz w:val="22"/>
          <w:vertAlign w:val="superscript"/>
        </w:rPr>
        <w:t xml:space="preserve">, </w:t>
      </w:r>
      <w:r w:rsidR="00AF3145" w:rsidRPr="001A2C10">
        <w:rPr>
          <w:rStyle w:val="EndnoteReference"/>
          <w:sz w:val="22"/>
        </w:rPr>
        <w:endnoteReference w:id="40"/>
      </w:r>
      <w:r w:rsidR="00A01EDF">
        <w:rPr>
          <w:sz w:val="22"/>
        </w:rPr>
        <w:t xml:space="preserve"> </w:t>
      </w:r>
    </w:p>
    <w:p w14:paraId="068B0582" w14:textId="4B4D178A" w:rsidR="009E05B1" w:rsidRPr="001A2C10" w:rsidRDefault="00C14668" w:rsidP="00007B26">
      <w:pPr>
        <w:pStyle w:val="ListParagraph"/>
        <w:numPr>
          <w:ilvl w:val="0"/>
          <w:numId w:val="15"/>
        </w:numPr>
        <w:spacing w:after="120"/>
        <w:ind w:left="357" w:hanging="357"/>
        <w:contextualSpacing w:val="0"/>
        <w:rPr>
          <w:sz w:val="22"/>
        </w:rPr>
      </w:pPr>
      <w:r w:rsidRPr="001A2C10">
        <w:rPr>
          <w:sz w:val="22"/>
        </w:rPr>
        <w:t>Some research</w:t>
      </w:r>
      <w:r w:rsidR="00E071AE" w:rsidRPr="001A2C10">
        <w:rPr>
          <w:sz w:val="22"/>
        </w:rPr>
        <w:t xml:space="preserve"> </w:t>
      </w:r>
      <w:r w:rsidR="002920DB" w:rsidRPr="001A2C10">
        <w:rPr>
          <w:sz w:val="22"/>
        </w:rPr>
        <w:t xml:space="preserve">suggests that </w:t>
      </w:r>
      <w:r w:rsidR="00E071AE" w:rsidRPr="001A2C10">
        <w:rPr>
          <w:sz w:val="22"/>
        </w:rPr>
        <w:t>a</w:t>
      </w:r>
      <w:r w:rsidRPr="001A2C10">
        <w:rPr>
          <w:sz w:val="22"/>
        </w:rPr>
        <w:t xml:space="preserve">dverse life events </w:t>
      </w:r>
      <w:r w:rsidR="00E071AE" w:rsidRPr="001A2C10">
        <w:rPr>
          <w:sz w:val="22"/>
        </w:rPr>
        <w:t>can act as</w:t>
      </w:r>
      <w:r w:rsidRPr="001A2C10">
        <w:rPr>
          <w:sz w:val="22"/>
        </w:rPr>
        <w:t xml:space="preserve"> a risk factor for the onset of chronic musculoskeletal pain</w:t>
      </w:r>
      <w:r w:rsidR="00E071AE" w:rsidRPr="001A2C10">
        <w:rPr>
          <w:sz w:val="22"/>
        </w:rPr>
        <w:t>.</w:t>
      </w:r>
      <w:r w:rsidR="00607B25" w:rsidRPr="001A2C10">
        <w:rPr>
          <w:rStyle w:val="EndnoteReference"/>
          <w:sz w:val="22"/>
        </w:rPr>
        <w:endnoteReference w:id="41"/>
      </w:r>
      <w:r w:rsidR="00007B26" w:rsidRPr="001A2C10">
        <w:rPr>
          <w:sz w:val="22"/>
        </w:rPr>
        <w:t xml:space="preserve"> </w:t>
      </w:r>
    </w:p>
    <w:p w14:paraId="100D9B42" w14:textId="5B3439AA" w:rsidR="00027984" w:rsidRPr="001A2C10" w:rsidRDefault="00C14668" w:rsidP="00007B26">
      <w:pPr>
        <w:pStyle w:val="ListParagraph"/>
        <w:numPr>
          <w:ilvl w:val="0"/>
          <w:numId w:val="15"/>
        </w:numPr>
        <w:spacing w:after="120"/>
        <w:ind w:left="357" w:hanging="357"/>
        <w:contextualSpacing w:val="0"/>
        <w:rPr>
          <w:sz w:val="22"/>
        </w:rPr>
      </w:pPr>
      <w:r w:rsidRPr="001A2C10">
        <w:rPr>
          <w:sz w:val="22"/>
        </w:rPr>
        <w:t>T</w:t>
      </w:r>
      <w:r w:rsidR="00EB7C73" w:rsidRPr="001A2C10">
        <w:rPr>
          <w:sz w:val="22"/>
        </w:rPr>
        <w:t xml:space="preserve">his increases the importance of addressing </w:t>
      </w:r>
      <w:r w:rsidR="00D9626B" w:rsidRPr="001A2C10">
        <w:rPr>
          <w:sz w:val="22"/>
        </w:rPr>
        <w:t xml:space="preserve">the underlying drivers of ill health when </w:t>
      </w:r>
      <w:r w:rsidR="00E1527E" w:rsidRPr="001A2C10">
        <w:rPr>
          <w:sz w:val="22"/>
        </w:rPr>
        <w:t xml:space="preserve">trying to improve women’s health, in addition to </w:t>
      </w:r>
      <w:r w:rsidR="00EF29BE" w:rsidRPr="001A2C10">
        <w:rPr>
          <w:sz w:val="22"/>
        </w:rPr>
        <w:t>tackling the more immediate</w:t>
      </w:r>
      <w:r w:rsidR="00AE2862" w:rsidRPr="001A2C10">
        <w:rPr>
          <w:sz w:val="22"/>
        </w:rPr>
        <w:t xml:space="preserve"> </w:t>
      </w:r>
      <w:r w:rsidR="00D21E54" w:rsidRPr="001A2C10">
        <w:rPr>
          <w:sz w:val="22"/>
        </w:rPr>
        <w:t>causes and risk factors</w:t>
      </w:r>
      <w:r w:rsidR="006D2308" w:rsidRPr="001A2C10">
        <w:rPr>
          <w:sz w:val="22"/>
        </w:rPr>
        <w:t xml:space="preserve"> of musculoskeletal conditions</w:t>
      </w:r>
      <w:r w:rsidR="00D21E54" w:rsidRPr="001A2C10">
        <w:rPr>
          <w:sz w:val="22"/>
        </w:rPr>
        <w:t>.</w:t>
      </w:r>
      <w:r w:rsidR="000B3BE6" w:rsidRPr="000C0BA6">
        <w:rPr>
          <w:sz w:val="22"/>
        </w:rPr>
        <w:fldChar w:fldCharType="begin"/>
      </w:r>
      <w:r w:rsidR="000B3BE6" w:rsidRPr="000C0BA6">
        <w:rPr>
          <w:sz w:val="22"/>
        </w:rPr>
        <w:instrText xml:space="preserve"> NOTEREF _Ref74321895 \f \h </w:instrText>
      </w:r>
      <w:r w:rsidR="000B3BE6">
        <w:rPr>
          <w:sz w:val="22"/>
        </w:rPr>
        <w:instrText xml:space="preserve"> \* MERGEFORMAT </w:instrText>
      </w:r>
      <w:r w:rsidR="000B3BE6" w:rsidRPr="000C0BA6">
        <w:rPr>
          <w:sz w:val="22"/>
        </w:rPr>
      </w:r>
      <w:r w:rsidR="000B3BE6" w:rsidRPr="000C0BA6">
        <w:rPr>
          <w:sz w:val="22"/>
        </w:rPr>
        <w:fldChar w:fldCharType="separate"/>
      </w:r>
      <w:r w:rsidR="005D0525" w:rsidRPr="005D0525">
        <w:rPr>
          <w:rStyle w:val="EndnoteReference"/>
          <w:sz w:val="22"/>
        </w:rPr>
        <w:t>18</w:t>
      </w:r>
      <w:r w:rsidR="000B3BE6" w:rsidRPr="000C0BA6">
        <w:rPr>
          <w:sz w:val="22"/>
        </w:rPr>
        <w:fldChar w:fldCharType="end"/>
      </w:r>
      <w:r w:rsidR="00D21E54" w:rsidRPr="001A2C10">
        <w:rPr>
          <w:sz w:val="22"/>
        </w:rPr>
        <w:t xml:space="preserve"> </w:t>
      </w:r>
    </w:p>
    <w:p w14:paraId="6E14F8C2" w14:textId="6DAB0C10" w:rsidR="00007B26" w:rsidRPr="001A2C10" w:rsidRDefault="008C032F" w:rsidP="00007B26">
      <w:pPr>
        <w:pStyle w:val="ListParagraph"/>
        <w:numPr>
          <w:ilvl w:val="0"/>
          <w:numId w:val="15"/>
        </w:numPr>
        <w:spacing w:after="120"/>
        <w:ind w:left="357" w:hanging="357"/>
        <w:contextualSpacing w:val="0"/>
        <w:rPr>
          <w:sz w:val="22"/>
        </w:rPr>
      </w:pPr>
      <w:r w:rsidRPr="001A2C10">
        <w:rPr>
          <w:sz w:val="22"/>
        </w:rPr>
        <w:t>In order to improve our ability to identify, treat</w:t>
      </w:r>
      <w:r w:rsidR="00B164EC" w:rsidRPr="001A2C10">
        <w:rPr>
          <w:sz w:val="22"/>
        </w:rPr>
        <w:t>,</w:t>
      </w:r>
      <w:r w:rsidRPr="001A2C10">
        <w:rPr>
          <w:sz w:val="22"/>
        </w:rPr>
        <w:t xml:space="preserve"> and manage chronic pain as a public health priority in the UK, </w:t>
      </w:r>
      <w:r w:rsidR="00B164EC" w:rsidRPr="001A2C10">
        <w:rPr>
          <w:sz w:val="22"/>
        </w:rPr>
        <w:t>data on the prevalence and impact of chronic pain should be routinely collected and published</w:t>
      </w:r>
      <w:r w:rsidR="002D1465" w:rsidRPr="001A2C10">
        <w:rPr>
          <w:sz w:val="22"/>
        </w:rPr>
        <w:t xml:space="preserve"> at a national, </w:t>
      </w:r>
      <w:r w:rsidR="00856917" w:rsidRPr="001A2C10">
        <w:rPr>
          <w:sz w:val="22"/>
        </w:rPr>
        <w:t>regional,</w:t>
      </w:r>
      <w:r w:rsidR="002D1465" w:rsidRPr="001A2C10">
        <w:rPr>
          <w:sz w:val="22"/>
        </w:rPr>
        <w:t xml:space="preserve"> and local level</w:t>
      </w:r>
      <w:r w:rsidR="00AF09A2" w:rsidRPr="001A2C10">
        <w:rPr>
          <w:sz w:val="22"/>
        </w:rPr>
        <w:t xml:space="preserve">, </w:t>
      </w:r>
      <w:r w:rsidRPr="001A2C10">
        <w:rPr>
          <w:sz w:val="22"/>
        </w:rPr>
        <w:t xml:space="preserve">with a </w:t>
      </w:r>
      <w:r w:rsidR="002D1465" w:rsidRPr="001A2C10">
        <w:rPr>
          <w:sz w:val="22"/>
        </w:rPr>
        <w:t xml:space="preserve">particular </w:t>
      </w:r>
      <w:r w:rsidRPr="001A2C10">
        <w:rPr>
          <w:sz w:val="22"/>
        </w:rPr>
        <w:t xml:space="preserve">focus on </w:t>
      </w:r>
      <w:r w:rsidR="002D1465" w:rsidRPr="001A2C10">
        <w:rPr>
          <w:sz w:val="22"/>
        </w:rPr>
        <w:t xml:space="preserve">understanding the experiences of </w:t>
      </w:r>
      <w:r w:rsidR="00A22D22" w:rsidRPr="001A2C10">
        <w:rPr>
          <w:sz w:val="22"/>
        </w:rPr>
        <w:t>group</w:t>
      </w:r>
      <w:r w:rsidR="002D1465" w:rsidRPr="001A2C10">
        <w:rPr>
          <w:sz w:val="22"/>
        </w:rPr>
        <w:t>s</w:t>
      </w:r>
      <w:r w:rsidR="00A22D22" w:rsidRPr="001A2C10">
        <w:rPr>
          <w:sz w:val="22"/>
        </w:rPr>
        <w:t xml:space="preserve"> who are </w:t>
      </w:r>
      <w:r w:rsidR="00620173" w:rsidRPr="001A2C10">
        <w:rPr>
          <w:sz w:val="22"/>
        </w:rPr>
        <w:t xml:space="preserve">disproportionately </w:t>
      </w:r>
      <w:r w:rsidR="00A22D22" w:rsidRPr="001A2C10">
        <w:rPr>
          <w:sz w:val="22"/>
        </w:rPr>
        <w:t>a</w:t>
      </w:r>
      <w:r w:rsidR="00620173" w:rsidRPr="001A2C10">
        <w:rPr>
          <w:sz w:val="22"/>
        </w:rPr>
        <w:t>ffect</w:t>
      </w:r>
      <w:r w:rsidR="00A22D22" w:rsidRPr="001A2C10">
        <w:rPr>
          <w:sz w:val="22"/>
        </w:rPr>
        <w:t xml:space="preserve">ed, including </w:t>
      </w:r>
      <w:r w:rsidR="00620173" w:rsidRPr="001A2C10">
        <w:rPr>
          <w:sz w:val="22"/>
        </w:rPr>
        <w:t>women</w:t>
      </w:r>
      <w:r w:rsidR="00A22D22" w:rsidRPr="001A2C10">
        <w:rPr>
          <w:sz w:val="22"/>
        </w:rPr>
        <w:t>.</w:t>
      </w:r>
      <w:r w:rsidR="00620173" w:rsidRPr="001A2C10">
        <w:rPr>
          <w:sz w:val="22"/>
        </w:rPr>
        <w:t xml:space="preserve"> </w:t>
      </w:r>
    </w:p>
    <w:p w14:paraId="26666F56" w14:textId="77777777" w:rsidR="00934198" w:rsidRPr="00B76903" w:rsidRDefault="00934198" w:rsidP="003D626B">
      <w:pPr>
        <w:spacing w:after="60"/>
        <w:rPr>
          <w:rFonts w:cs="Arial"/>
          <w:b/>
          <w:bCs/>
          <w:sz w:val="22"/>
        </w:rPr>
      </w:pPr>
      <w:r w:rsidRPr="00B76903">
        <w:rPr>
          <w:rFonts w:cs="Arial"/>
          <w:b/>
          <w:bCs/>
          <w:sz w:val="22"/>
        </w:rPr>
        <w:t>Musculoskeletal research</w:t>
      </w:r>
    </w:p>
    <w:p w14:paraId="42C9F28F" w14:textId="77777777" w:rsidR="00934198" w:rsidRDefault="00934198" w:rsidP="00934198">
      <w:pPr>
        <w:pStyle w:val="ListParagraph"/>
        <w:numPr>
          <w:ilvl w:val="0"/>
          <w:numId w:val="15"/>
        </w:numPr>
        <w:spacing w:after="120"/>
        <w:ind w:left="357" w:hanging="357"/>
        <w:contextualSpacing w:val="0"/>
        <w:rPr>
          <w:sz w:val="22"/>
        </w:rPr>
      </w:pPr>
      <w:r w:rsidRPr="00AA37D3">
        <w:rPr>
          <w:sz w:val="22"/>
        </w:rPr>
        <w:t>In analysing the 2018 UK Health Research Analysis dataset, arthritis and other musculoskeletal conditions was one of five disease areas that received a funding allocation which was significantly lower than its comparative burden of disease, as measured using the 2016 DALY rate.</w:t>
      </w:r>
      <w:r w:rsidRPr="00B76903">
        <w:rPr>
          <w:rStyle w:val="EndnoteReference"/>
          <w:sz w:val="22"/>
        </w:rPr>
        <w:endnoteReference w:id="42"/>
      </w:r>
      <w:r w:rsidRPr="00AA37D3">
        <w:rPr>
          <w:sz w:val="22"/>
          <w:vertAlign w:val="superscript"/>
        </w:rPr>
        <w:t>,</w:t>
      </w:r>
      <w:r w:rsidRPr="00AA37D3">
        <w:rPr>
          <w:sz w:val="22"/>
        </w:rPr>
        <w:t xml:space="preserve"> </w:t>
      </w:r>
      <w:bookmarkStart w:id="9" w:name="_Ref72488089"/>
      <w:r w:rsidRPr="00B76903">
        <w:rPr>
          <w:rStyle w:val="EndnoteReference"/>
          <w:sz w:val="22"/>
        </w:rPr>
        <w:endnoteReference w:id="43"/>
      </w:r>
      <w:bookmarkEnd w:id="9"/>
    </w:p>
    <w:p w14:paraId="586B3A41" w14:textId="5CBF017D" w:rsidR="00934198" w:rsidRDefault="00934198" w:rsidP="00934198">
      <w:pPr>
        <w:pStyle w:val="ListParagraph"/>
        <w:numPr>
          <w:ilvl w:val="0"/>
          <w:numId w:val="15"/>
        </w:numPr>
        <w:spacing w:after="120"/>
        <w:ind w:left="357" w:hanging="357"/>
        <w:contextualSpacing w:val="0"/>
        <w:rPr>
          <w:sz w:val="22"/>
        </w:rPr>
      </w:pPr>
      <w:r w:rsidRPr="00AA37D3">
        <w:rPr>
          <w:sz w:val="22"/>
        </w:rPr>
        <w:t xml:space="preserve">The average research funding proportion allocated to each disease area in 2018 was 4.7%, while the arthritis research funding proportion was 3.4%, despite it being one of the leading causes of pain and disability in the </w:t>
      </w:r>
      <w:r w:rsidRPr="000B3BE6">
        <w:rPr>
          <w:sz w:val="22"/>
        </w:rPr>
        <w:t>UK.</w:t>
      </w:r>
      <w:r w:rsidR="000B3BE6" w:rsidRPr="000B3BE6">
        <w:rPr>
          <w:sz w:val="22"/>
        </w:rPr>
        <w:fldChar w:fldCharType="begin"/>
      </w:r>
      <w:r w:rsidR="000B3BE6" w:rsidRPr="000B3BE6">
        <w:rPr>
          <w:sz w:val="22"/>
        </w:rPr>
        <w:instrText xml:space="preserve"> NOTEREF _Ref72488089 \f \h </w:instrText>
      </w:r>
      <w:r w:rsidR="000B3BE6">
        <w:rPr>
          <w:sz w:val="22"/>
        </w:rPr>
        <w:instrText xml:space="preserve"> \* MERGEFORMAT </w:instrText>
      </w:r>
      <w:r w:rsidR="000B3BE6" w:rsidRPr="000B3BE6">
        <w:rPr>
          <w:sz w:val="22"/>
        </w:rPr>
      </w:r>
      <w:r w:rsidR="000B3BE6" w:rsidRPr="000B3BE6">
        <w:rPr>
          <w:sz w:val="22"/>
        </w:rPr>
        <w:fldChar w:fldCharType="separate"/>
      </w:r>
      <w:r w:rsidR="005D0525" w:rsidRPr="005D0525">
        <w:rPr>
          <w:rStyle w:val="EndnoteReference"/>
          <w:sz w:val="22"/>
        </w:rPr>
        <w:t>42</w:t>
      </w:r>
      <w:r w:rsidR="000B3BE6" w:rsidRPr="000B3BE6">
        <w:rPr>
          <w:sz w:val="22"/>
        </w:rPr>
        <w:fldChar w:fldCharType="end"/>
      </w:r>
      <w:r w:rsidR="000B3BE6">
        <w:rPr>
          <w:sz w:val="22"/>
        </w:rPr>
        <w:t xml:space="preserve"> </w:t>
      </w:r>
    </w:p>
    <w:p w14:paraId="24A6B571" w14:textId="77777777" w:rsidR="00934198" w:rsidRDefault="00934198" w:rsidP="00934198">
      <w:pPr>
        <w:pStyle w:val="ListParagraph"/>
        <w:numPr>
          <w:ilvl w:val="0"/>
          <w:numId w:val="15"/>
        </w:numPr>
        <w:spacing w:after="120"/>
        <w:ind w:left="357" w:hanging="357"/>
        <w:contextualSpacing w:val="0"/>
        <w:rPr>
          <w:sz w:val="22"/>
        </w:rPr>
      </w:pPr>
      <w:r w:rsidRPr="00AA37D3">
        <w:rPr>
          <w:sz w:val="22"/>
        </w:rPr>
        <w:t>This mirrors a wider pattern observed around health research globally, in which conditions that disproportionately impact women tend to receive less prioritisation and investment</w:t>
      </w:r>
      <w:r>
        <w:rPr>
          <w:sz w:val="22"/>
        </w:rPr>
        <w:t>.</w:t>
      </w:r>
      <w:r w:rsidRPr="00B76903">
        <w:rPr>
          <w:rStyle w:val="EndnoteReference"/>
          <w:sz w:val="22"/>
        </w:rPr>
        <w:endnoteReference w:id="44"/>
      </w:r>
    </w:p>
    <w:p w14:paraId="14E750BC" w14:textId="77777777" w:rsidR="00BA3B9A" w:rsidRDefault="00BA3B9A" w:rsidP="003D626B">
      <w:pPr>
        <w:spacing w:after="60"/>
        <w:rPr>
          <w:b/>
          <w:bCs/>
          <w:sz w:val="22"/>
        </w:rPr>
      </w:pPr>
    </w:p>
    <w:p w14:paraId="6E0E82A5" w14:textId="39F55C6B" w:rsidR="00250964" w:rsidRPr="00934198" w:rsidRDefault="00B76903" w:rsidP="003D626B">
      <w:pPr>
        <w:spacing w:after="60"/>
        <w:rPr>
          <w:b/>
          <w:bCs/>
          <w:sz w:val="22"/>
        </w:rPr>
      </w:pPr>
      <w:r w:rsidRPr="00FC5D61">
        <w:rPr>
          <w:b/>
          <w:bCs/>
          <w:sz w:val="22"/>
        </w:rPr>
        <w:t>Impact of chronic pain and musculoskeletal conditions</w:t>
      </w:r>
      <w:r w:rsidR="00250964" w:rsidRPr="00FC5D61">
        <w:rPr>
          <w:b/>
          <w:bCs/>
          <w:sz w:val="22"/>
        </w:rPr>
        <w:t xml:space="preserve"> </w:t>
      </w:r>
      <w:r w:rsidRPr="00FC5D61">
        <w:rPr>
          <w:b/>
          <w:bCs/>
          <w:sz w:val="22"/>
        </w:rPr>
        <w:t xml:space="preserve">on </w:t>
      </w:r>
      <w:r w:rsidR="00250964" w:rsidRPr="00FC5D61">
        <w:rPr>
          <w:b/>
          <w:bCs/>
          <w:sz w:val="22"/>
        </w:rPr>
        <w:t xml:space="preserve">employment </w:t>
      </w:r>
    </w:p>
    <w:p w14:paraId="305E8936" w14:textId="3DFA298A" w:rsidR="00B51040" w:rsidRDefault="00250964" w:rsidP="00B51040">
      <w:pPr>
        <w:pStyle w:val="ListParagraph"/>
        <w:numPr>
          <w:ilvl w:val="0"/>
          <w:numId w:val="15"/>
        </w:numPr>
        <w:spacing w:after="120"/>
        <w:ind w:left="357" w:hanging="357"/>
        <w:contextualSpacing w:val="0"/>
        <w:rPr>
          <w:sz w:val="22"/>
        </w:rPr>
      </w:pPr>
      <w:r w:rsidRPr="00FC5D61">
        <w:rPr>
          <w:sz w:val="22"/>
        </w:rPr>
        <w:t xml:space="preserve">The </w:t>
      </w:r>
      <w:r w:rsidR="00A4512C" w:rsidRPr="00FC5D61">
        <w:rPr>
          <w:sz w:val="22"/>
        </w:rPr>
        <w:t>overal</w:t>
      </w:r>
      <w:r w:rsidR="0066255F" w:rsidRPr="00FC5D61">
        <w:rPr>
          <w:sz w:val="22"/>
        </w:rPr>
        <w:t xml:space="preserve">l </w:t>
      </w:r>
      <w:r w:rsidRPr="00FC5D61">
        <w:rPr>
          <w:sz w:val="22"/>
        </w:rPr>
        <w:t>prevalence of chronic pain in England</w:t>
      </w:r>
      <w:r w:rsidR="006A16BE" w:rsidRPr="00FC5D61">
        <w:rPr>
          <w:sz w:val="22"/>
        </w:rPr>
        <w:t xml:space="preserve"> related to all conditions</w:t>
      </w:r>
      <w:r w:rsidR="0078174D" w:rsidRPr="00FC5D61">
        <w:rPr>
          <w:sz w:val="22"/>
        </w:rPr>
        <w:t xml:space="preserve"> </w:t>
      </w:r>
      <w:r w:rsidRPr="00FC5D61">
        <w:rPr>
          <w:sz w:val="22"/>
        </w:rPr>
        <w:t>is higher among women in paid employment or self-employ</w:t>
      </w:r>
      <w:r w:rsidR="00BD2CDE" w:rsidRPr="00FC5D61">
        <w:rPr>
          <w:sz w:val="22"/>
        </w:rPr>
        <w:t>ment</w:t>
      </w:r>
      <w:r w:rsidR="00C21FA2" w:rsidRPr="00FC5D61">
        <w:rPr>
          <w:sz w:val="22"/>
        </w:rPr>
        <w:t>,</w:t>
      </w:r>
      <w:r w:rsidRPr="00FC5D61">
        <w:rPr>
          <w:sz w:val="22"/>
        </w:rPr>
        <w:t xml:space="preserve"> than </w:t>
      </w:r>
      <w:r w:rsidR="00A4512C" w:rsidRPr="00FC5D61">
        <w:rPr>
          <w:sz w:val="22"/>
        </w:rPr>
        <w:t xml:space="preserve">in </w:t>
      </w:r>
      <w:r w:rsidRPr="00FC5D61">
        <w:rPr>
          <w:sz w:val="22"/>
        </w:rPr>
        <w:t>men</w:t>
      </w:r>
      <w:r w:rsidR="00C0711E">
        <w:rPr>
          <w:sz w:val="22"/>
        </w:rPr>
        <w:t>:</w:t>
      </w:r>
      <w:r w:rsidR="00B51040">
        <w:rPr>
          <w:sz w:val="22"/>
        </w:rPr>
        <w:t xml:space="preserve"> </w:t>
      </w:r>
      <w:r w:rsidRPr="00B51040">
        <w:rPr>
          <w:sz w:val="22"/>
        </w:rPr>
        <w:t>31% of women in paid employment or self-employment have chronic pain versus 25% of men.</w:t>
      </w:r>
      <w:r w:rsidR="000B3BE6" w:rsidRPr="000B3BE6">
        <w:rPr>
          <w:sz w:val="22"/>
        </w:rPr>
        <w:fldChar w:fldCharType="begin"/>
      </w:r>
      <w:r w:rsidR="000B3BE6" w:rsidRPr="000B3BE6">
        <w:rPr>
          <w:sz w:val="22"/>
        </w:rPr>
        <w:instrText xml:space="preserve"> NOTEREF _Ref74319608 \f \h </w:instrText>
      </w:r>
      <w:r w:rsidR="000B3BE6">
        <w:rPr>
          <w:sz w:val="22"/>
        </w:rPr>
        <w:instrText xml:space="preserve"> \* MERGEFORMAT </w:instrText>
      </w:r>
      <w:r w:rsidR="000B3BE6" w:rsidRPr="000B3BE6">
        <w:rPr>
          <w:sz w:val="22"/>
        </w:rPr>
      </w:r>
      <w:r w:rsidR="000B3BE6" w:rsidRPr="000B3BE6">
        <w:rPr>
          <w:sz w:val="22"/>
        </w:rPr>
        <w:fldChar w:fldCharType="separate"/>
      </w:r>
      <w:r w:rsidR="005D0525" w:rsidRPr="005D0525">
        <w:rPr>
          <w:rStyle w:val="EndnoteReference"/>
          <w:sz w:val="22"/>
        </w:rPr>
        <w:t>6</w:t>
      </w:r>
      <w:r w:rsidR="000B3BE6" w:rsidRPr="000B3BE6">
        <w:rPr>
          <w:sz w:val="22"/>
        </w:rPr>
        <w:fldChar w:fldCharType="end"/>
      </w:r>
      <w:r w:rsidR="000B3BE6" w:rsidRPr="000B3BE6">
        <w:rPr>
          <w:sz w:val="22"/>
        </w:rPr>
        <w:t xml:space="preserve"> </w:t>
      </w:r>
    </w:p>
    <w:p w14:paraId="03D9D979" w14:textId="5EE037BC" w:rsidR="00B51040" w:rsidRDefault="00250964" w:rsidP="00B51040">
      <w:pPr>
        <w:pStyle w:val="ListParagraph"/>
        <w:numPr>
          <w:ilvl w:val="0"/>
          <w:numId w:val="15"/>
        </w:numPr>
        <w:spacing w:after="120"/>
        <w:ind w:left="357" w:hanging="357"/>
        <w:contextualSpacing w:val="0"/>
        <w:rPr>
          <w:sz w:val="22"/>
        </w:rPr>
      </w:pPr>
      <w:r w:rsidRPr="00B51040">
        <w:rPr>
          <w:sz w:val="22"/>
        </w:rPr>
        <w:lastRenderedPageBreak/>
        <w:t>Women with chronic pain in England are less likely to be in paid employment or self-employed than men</w:t>
      </w:r>
      <w:r w:rsidR="0072109B">
        <w:rPr>
          <w:sz w:val="22"/>
        </w:rPr>
        <w:t>:</w:t>
      </w:r>
      <w:r w:rsidRPr="00B51040">
        <w:rPr>
          <w:sz w:val="22"/>
        </w:rPr>
        <w:t xml:space="preserve"> 47% of women with chronic pain are in paid employment or self-employed compared with 56% of men.</w:t>
      </w:r>
      <w:r w:rsidR="000B3BE6" w:rsidRPr="000B3BE6">
        <w:rPr>
          <w:sz w:val="22"/>
        </w:rPr>
        <w:fldChar w:fldCharType="begin"/>
      </w:r>
      <w:r w:rsidR="000B3BE6" w:rsidRPr="000B3BE6">
        <w:rPr>
          <w:sz w:val="22"/>
        </w:rPr>
        <w:instrText xml:space="preserve"> NOTEREF _Ref74319608 \f \h </w:instrText>
      </w:r>
      <w:r w:rsidR="000B3BE6">
        <w:rPr>
          <w:sz w:val="22"/>
        </w:rPr>
        <w:instrText xml:space="preserve"> \* MERGEFORMAT </w:instrText>
      </w:r>
      <w:r w:rsidR="000B3BE6" w:rsidRPr="000B3BE6">
        <w:rPr>
          <w:sz w:val="22"/>
        </w:rPr>
      </w:r>
      <w:r w:rsidR="000B3BE6" w:rsidRPr="000B3BE6">
        <w:rPr>
          <w:sz w:val="22"/>
        </w:rPr>
        <w:fldChar w:fldCharType="separate"/>
      </w:r>
      <w:r w:rsidR="005D0525" w:rsidRPr="005D0525">
        <w:rPr>
          <w:rStyle w:val="EndnoteReference"/>
          <w:sz w:val="22"/>
        </w:rPr>
        <w:t>6</w:t>
      </w:r>
      <w:r w:rsidR="000B3BE6" w:rsidRPr="000B3BE6">
        <w:rPr>
          <w:sz w:val="22"/>
        </w:rPr>
        <w:fldChar w:fldCharType="end"/>
      </w:r>
      <w:r w:rsidR="000B3BE6" w:rsidRPr="000B3BE6">
        <w:rPr>
          <w:sz w:val="22"/>
        </w:rPr>
        <w:t xml:space="preserve"> </w:t>
      </w:r>
      <w:r w:rsidR="000B3BE6">
        <w:rPr>
          <w:sz w:val="22"/>
        </w:rPr>
        <w:t xml:space="preserve"> </w:t>
      </w:r>
    </w:p>
    <w:p w14:paraId="5D17EAC0" w14:textId="20FEDC51" w:rsidR="00B51040" w:rsidRDefault="00250964" w:rsidP="00B51040">
      <w:pPr>
        <w:pStyle w:val="ListParagraph"/>
        <w:numPr>
          <w:ilvl w:val="0"/>
          <w:numId w:val="15"/>
        </w:numPr>
        <w:spacing w:after="120"/>
        <w:ind w:left="357" w:hanging="357"/>
        <w:contextualSpacing w:val="0"/>
        <w:rPr>
          <w:sz w:val="22"/>
        </w:rPr>
      </w:pPr>
      <w:r w:rsidRPr="00B51040">
        <w:rPr>
          <w:sz w:val="22"/>
        </w:rPr>
        <w:t>The prevalence of chronic pain in England is higher among women who are permanently unable to work because of long-term sickness or disability</w:t>
      </w:r>
      <w:r w:rsidR="0072109B">
        <w:rPr>
          <w:sz w:val="22"/>
        </w:rPr>
        <w:t>:</w:t>
      </w:r>
      <w:r w:rsidR="00B51040" w:rsidRPr="00B51040">
        <w:rPr>
          <w:sz w:val="22"/>
        </w:rPr>
        <w:t xml:space="preserve"> </w:t>
      </w:r>
      <w:r w:rsidRPr="00B51040">
        <w:rPr>
          <w:sz w:val="22"/>
        </w:rPr>
        <w:t>84% of women who are permanently unable to work because of long-term sickness or disability have chronic pain versus 71% of men.</w:t>
      </w:r>
      <w:r w:rsidR="000B3BE6" w:rsidRPr="000B3BE6">
        <w:rPr>
          <w:sz w:val="22"/>
        </w:rPr>
        <w:fldChar w:fldCharType="begin"/>
      </w:r>
      <w:r w:rsidR="000B3BE6" w:rsidRPr="000B3BE6">
        <w:rPr>
          <w:sz w:val="22"/>
        </w:rPr>
        <w:instrText xml:space="preserve"> NOTEREF _Ref74319608 \f \h </w:instrText>
      </w:r>
      <w:r w:rsidR="000B3BE6">
        <w:rPr>
          <w:sz w:val="22"/>
        </w:rPr>
        <w:instrText xml:space="preserve"> \* MERGEFORMAT </w:instrText>
      </w:r>
      <w:r w:rsidR="000B3BE6" w:rsidRPr="000B3BE6">
        <w:rPr>
          <w:sz w:val="22"/>
        </w:rPr>
      </w:r>
      <w:r w:rsidR="000B3BE6" w:rsidRPr="000B3BE6">
        <w:rPr>
          <w:sz w:val="22"/>
        </w:rPr>
        <w:fldChar w:fldCharType="separate"/>
      </w:r>
      <w:r w:rsidR="005D0525" w:rsidRPr="005D0525">
        <w:rPr>
          <w:rStyle w:val="EndnoteReference"/>
          <w:sz w:val="22"/>
        </w:rPr>
        <w:t>6</w:t>
      </w:r>
      <w:r w:rsidR="000B3BE6" w:rsidRPr="000B3BE6">
        <w:rPr>
          <w:sz w:val="22"/>
        </w:rPr>
        <w:fldChar w:fldCharType="end"/>
      </w:r>
      <w:r w:rsidR="000B3BE6" w:rsidRPr="000B3BE6">
        <w:rPr>
          <w:sz w:val="22"/>
        </w:rPr>
        <w:t xml:space="preserve"> </w:t>
      </w:r>
      <w:r w:rsidR="000B3BE6">
        <w:rPr>
          <w:sz w:val="22"/>
        </w:rPr>
        <w:t xml:space="preserve"> </w:t>
      </w:r>
    </w:p>
    <w:p w14:paraId="4813F579" w14:textId="77777777" w:rsidR="00B51040" w:rsidRPr="00B51040" w:rsidRDefault="00B76903" w:rsidP="00B51040">
      <w:pPr>
        <w:pStyle w:val="ListParagraph"/>
        <w:numPr>
          <w:ilvl w:val="0"/>
          <w:numId w:val="15"/>
        </w:numPr>
        <w:spacing w:after="120"/>
        <w:ind w:left="357" w:hanging="357"/>
        <w:contextualSpacing w:val="0"/>
        <w:rPr>
          <w:sz w:val="22"/>
        </w:rPr>
      </w:pPr>
      <w:r w:rsidRPr="00B51040">
        <w:rPr>
          <w:rFonts w:eastAsia="Times New Roman"/>
          <w:bCs/>
          <w:sz w:val="22"/>
        </w:rPr>
        <w:t>Musculoskeletal conditions more broadly</w:t>
      </w:r>
      <w:r w:rsidR="095DEDA9" w:rsidRPr="00B51040">
        <w:rPr>
          <w:rFonts w:eastAsia="Times New Roman"/>
          <w:bCs/>
          <w:sz w:val="22"/>
        </w:rPr>
        <w:t>,</w:t>
      </w:r>
      <w:r w:rsidRPr="00B51040">
        <w:rPr>
          <w:rFonts w:eastAsia="Times New Roman"/>
          <w:bCs/>
          <w:sz w:val="22"/>
        </w:rPr>
        <w:t xml:space="preserve"> have a significant impact on women’s ability to find and remain in long-term employment</w:t>
      </w:r>
      <w:r w:rsidR="00B51040" w:rsidRPr="00B51040">
        <w:rPr>
          <w:rFonts w:eastAsia="Times New Roman"/>
          <w:bCs/>
          <w:sz w:val="22"/>
        </w:rPr>
        <w:t xml:space="preserve">. </w:t>
      </w:r>
      <w:r w:rsidR="00250964" w:rsidRPr="0099377B">
        <w:rPr>
          <w:rFonts w:eastAsia="Times New Roman"/>
          <w:sz w:val="22"/>
        </w:rPr>
        <w:t>In 2018/2019, the employment rate for people with</w:t>
      </w:r>
      <w:r w:rsidR="00250964" w:rsidRPr="00B51040">
        <w:rPr>
          <w:rFonts w:eastAsia="Times New Roman"/>
          <w:sz w:val="22"/>
        </w:rPr>
        <w:t xml:space="preserve"> musculoskeletal conditions, a majority of whom are women, was 57.8%, compared to 82.2% for people without a long-term health condition.</w:t>
      </w:r>
      <w:bookmarkStart w:id="10" w:name="_Ref72489355"/>
      <w:r w:rsidR="00250964" w:rsidRPr="00B76903">
        <w:rPr>
          <w:rStyle w:val="EndnoteReference"/>
          <w:rFonts w:eastAsia="Times New Roman"/>
          <w:sz w:val="22"/>
        </w:rPr>
        <w:endnoteReference w:id="45"/>
      </w:r>
      <w:bookmarkEnd w:id="10"/>
    </w:p>
    <w:p w14:paraId="6B5C9532" w14:textId="5C25F40C" w:rsidR="00B51040" w:rsidRPr="00B51040" w:rsidRDefault="00B76903" w:rsidP="00B51040">
      <w:pPr>
        <w:pStyle w:val="ListParagraph"/>
        <w:numPr>
          <w:ilvl w:val="0"/>
          <w:numId w:val="15"/>
        </w:numPr>
        <w:spacing w:after="120"/>
        <w:ind w:left="357" w:hanging="357"/>
        <w:contextualSpacing w:val="0"/>
        <w:rPr>
          <w:sz w:val="22"/>
        </w:rPr>
      </w:pPr>
      <w:r w:rsidRPr="00B51040">
        <w:rPr>
          <w:rFonts w:eastAsia="Times New Roman"/>
          <w:sz w:val="22"/>
        </w:rPr>
        <w:t>The data also indicates that disabled women were more likely to have moved out of work than disabled me</w:t>
      </w:r>
      <w:r w:rsidRPr="000B3BE6">
        <w:rPr>
          <w:rFonts w:eastAsia="Times New Roman"/>
          <w:sz w:val="22"/>
        </w:rPr>
        <w:t>n.</w:t>
      </w:r>
      <w:r w:rsidR="000B3BE6" w:rsidRPr="000B3BE6">
        <w:rPr>
          <w:rFonts w:eastAsia="Times New Roman"/>
          <w:sz w:val="22"/>
        </w:rPr>
        <w:fldChar w:fldCharType="begin"/>
      </w:r>
      <w:r w:rsidR="000B3BE6" w:rsidRPr="000B3BE6">
        <w:rPr>
          <w:rFonts w:eastAsia="Times New Roman"/>
          <w:sz w:val="22"/>
        </w:rPr>
        <w:instrText xml:space="preserve"> NOTEREF _Ref72489355 \f \h </w:instrText>
      </w:r>
      <w:r w:rsidR="000B3BE6">
        <w:rPr>
          <w:rFonts w:eastAsia="Times New Roman"/>
          <w:sz w:val="22"/>
        </w:rPr>
        <w:instrText xml:space="preserve"> \* MERGEFORMAT </w:instrText>
      </w:r>
      <w:r w:rsidR="000B3BE6" w:rsidRPr="000B3BE6">
        <w:rPr>
          <w:rFonts w:eastAsia="Times New Roman"/>
          <w:sz w:val="22"/>
        </w:rPr>
      </w:r>
      <w:r w:rsidR="000B3BE6" w:rsidRPr="000B3BE6">
        <w:rPr>
          <w:rFonts w:eastAsia="Times New Roman"/>
          <w:sz w:val="22"/>
        </w:rPr>
        <w:fldChar w:fldCharType="separate"/>
      </w:r>
      <w:r w:rsidR="005D0525" w:rsidRPr="005D0525">
        <w:rPr>
          <w:rStyle w:val="EndnoteReference"/>
          <w:sz w:val="22"/>
        </w:rPr>
        <w:t>44</w:t>
      </w:r>
      <w:r w:rsidR="000B3BE6" w:rsidRPr="000B3BE6">
        <w:rPr>
          <w:rFonts w:eastAsia="Times New Roman"/>
          <w:sz w:val="22"/>
        </w:rPr>
        <w:fldChar w:fldCharType="end"/>
      </w:r>
      <w:r w:rsidR="007028BF" w:rsidRPr="00B51040">
        <w:rPr>
          <w:rFonts w:eastAsia="Times New Roman"/>
          <w:sz w:val="22"/>
        </w:rPr>
        <w:t xml:space="preserve"> </w:t>
      </w:r>
    </w:p>
    <w:p w14:paraId="664082F8" w14:textId="00230321" w:rsidR="00B51040" w:rsidRPr="00B51040" w:rsidRDefault="003461C3" w:rsidP="00B51040">
      <w:pPr>
        <w:pStyle w:val="ListParagraph"/>
        <w:numPr>
          <w:ilvl w:val="0"/>
          <w:numId w:val="15"/>
        </w:numPr>
        <w:spacing w:after="120"/>
        <w:ind w:left="357" w:hanging="357"/>
        <w:contextualSpacing w:val="0"/>
        <w:rPr>
          <w:sz w:val="22"/>
        </w:rPr>
      </w:pPr>
      <w:r w:rsidRPr="00B51040">
        <w:rPr>
          <w:rFonts w:eastAsia="Times New Roman"/>
          <w:sz w:val="22"/>
        </w:rPr>
        <w:t xml:space="preserve">Versus Arthritis research found that </w:t>
      </w:r>
      <w:r w:rsidR="00250964" w:rsidRPr="00B51040">
        <w:rPr>
          <w:rFonts w:eastAsia="Times New Roman"/>
          <w:sz w:val="22"/>
        </w:rPr>
        <w:t>that 43% of working-</w:t>
      </w:r>
      <w:r w:rsidR="00E82DBA" w:rsidRPr="00B51040">
        <w:rPr>
          <w:rFonts w:eastAsia="Times New Roman"/>
          <w:sz w:val="22"/>
        </w:rPr>
        <w:t>aged</w:t>
      </w:r>
      <w:r w:rsidR="00250964" w:rsidRPr="00B51040">
        <w:rPr>
          <w:rFonts w:eastAsia="Times New Roman"/>
          <w:sz w:val="22"/>
        </w:rPr>
        <w:t xml:space="preserve"> people with arthritis said their condition impacted on their own working life, or on their carer’s working life, ranging from reducing hours or changi</w:t>
      </w:r>
      <w:r w:rsidR="00250964" w:rsidRPr="00FE6ACD">
        <w:rPr>
          <w:rFonts w:eastAsia="Times New Roman"/>
          <w:sz w:val="22"/>
        </w:rPr>
        <w:t>ng roles</w:t>
      </w:r>
      <w:r w:rsidR="00350135">
        <w:rPr>
          <w:rFonts w:eastAsia="Times New Roman"/>
          <w:sz w:val="22"/>
        </w:rPr>
        <w:t>,</w:t>
      </w:r>
      <w:r w:rsidR="00250964" w:rsidRPr="00FE6ACD">
        <w:rPr>
          <w:rFonts w:eastAsia="Times New Roman"/>
          <w:sz w:val="22"/>
        </w:rPr>
        <w:t xml:space="preserve"> through to giving up work or taking early</w:t>
      </w:r>
      <w:r w:rsidR="00B67DB1" w:rsidRPr="00FE6ACD">
        <w:rPr>
          <w:rFonts w:eastAsia="Times New Roman"/>
          <w:sz w:val="22"/>
        </w:rPr>
        <w:t xml:space="preserve"> retirement</w:t>
      </w:r>
      <w:r w:rsidR="00250964" w:rsidRPr="00FE6ACD">
        <w:rPr>
          <w:rFonts w:eastAsia="Times New Roman"/>
          <w:sz w:val="22"/>
        </w:rPr>
        <w:t>.</w:t>
      </w:r>
      <w:bookmarkStart w:id="11" w:name="_Ref72490016"/>
      <w:r w:rsidR="00250964" w:rsidRPr="00FE6ACD">
        <w:rPr>
          <w:rStyle w:val="EndnoteReference"/>
          <w:rFonts w:eastAsia="Times New Roman"/>
          <w:sz w:val="22"/>
        </w:rPr>
        <w:endnoteReference w:id="46"/>
      </w:r>
      <w:bookmarkEnd w:id="11"/>
    </w:p>
    <w:p w14:paraId="78849A06" w14:textId="09F23610" w:rsidR="00B51040" w:rsidRPr="00C125FD" w:rsidRDefault="00250964" w:rsidP="00B51040">
      <w:pPr>
        <w:pStyle w:val="ListParagraph"/>
        <w:numPr>
          <w:ilvl w:val="0"/>
          <w:numId w:val="15"/>
        </w:numPr>
        <w:spacing w:after="120"/>
        <w:ind w:left="357" w:hanging="357"/>
        <w:contextualSpacing w:val="0"/>
        <w:rPr>
          <w:sz w:val="22"/>
        </w:rPr>
      </w:pPr>
      <w:r w:rsidRPr="00B51040">
        <w:rPr>
          <w:rFonts w:eastAsia="Times New Roman"/>
          <w:sz w:val="22"/>
        </w:rPr>
        <w:t xml:space="preserve">Given that women are more likely to be affected by a musculoskeletal condition, and are more likely to act as a carer for someone with a long-term </w:t>
      </w:r>
      <w:r w:rsidR="00F06C9C" w:rsidRPr="00FE6ACD">
        <w:rPr>
          <w:rFonts w:eastAsia="Times New Roman"/>
          <w:sz w:val="22"/>
        </w:rPr>
        <w:t xml:space="preserve">health </w:t>
      </w:r>
      <w:r w:rsidRPr="00B51040">
        <w:rPr>
          <w:rFonts w:eastAsia="Times New Roman"/>
          <w:sz w:val="22"/>
        </w:rPr>
        <w:t>condition</w:t>
      </w:r>
      <w:r w:rsidR="00F06C9C" w:rsidRPr="00FE6ACD">
        <w:rPr>
          <w:rFonts w:eastAsia="Times New Roman"/>
          <w:sz w:val="22"/>
        </w:rPr>
        <w:t xml:space="preserve"> </w:t>
      </w:r>
      <w:r w:rsidR="00F06C9C" w:rsidRPr="00FE6ACD">
        <w:rPr>
          <w:rStyle w:val="EndnoteReference"/>
          <w:rFonts w:eastAsia="Times New Roman"/>
          <w:sz w:val="22"/>
        </w:rPr>
        <w:endnoteReference w:id="47"/>
      </w:r>
      <w:r w:rsidRPr="00B51040">
        <w:rPr>
          <w:rFonts w:eastAsia="Times New Roman"/>
          <w:sz w:val="22"/>
        </w:rPr>
        <w:t xml:space="preserve">, women </w:t>
      </w:r>
      <w:r w:rsidR="009D48E5" w:rsidRPr="00B51040">
        <w:rPr>
          <w:rFonts w:eastAsia="Times New Roman"/>
          <w:sz w:val="22"/>
        </w:rPr>
        <w:t xml:space="preserve">can be </w:t>
      </w:r>
      <w:r w:rsidRPr="00B51040">
        <w:rPr>
          <w:rFonts w:eastAsia="Times New Roman"/>
          <w:sz w:val="22"/>
        </w:rPr>
        <w:t>significantly disadvantaged by the lack of understanding an</w:t>
      </w:r>
      <w:r w:rsidR="00601B0E">
        <w:rPr>
          <w:rFonts w:eastAsia="Times New Roman"/>
          <w:sz w:val="22"/>
        </w:rPr>
        <w:t>d</w:t>
      </w:r>
      <w:r w:rsidRPr="00B51040">
        <w:rPr>
          <w:rFonts w:eastAsia="Times New Roman"/>
          <w:sz w:val="22"/>
        </w:rPr>
        <w:t xml:space="preserve"> </w:t>
      </w:r>
      <w:r w:rsidR="00601B0E">
        <w:rPr>
          <w:rFonts w:eastAsia="Times New Roman"/>
          <w:sz w:val="22"/>
        </w:rPr>
        <w:t xml:space="preserve">resources </w:t>
      </w:r>
      <w:r w:rsidRPr="00B51040">
        <w:rPr>
          <w:rFonts w:eastAsia="Times New Roman"/>
          <w:sz w:val="22"/>
        </w:rPr>
        <w:t xml:space="preserve">provided to support musculoskeletal health in the </w:t>
      </w:r>
      <w:r w:rsidRPr="000B3BE6">
        <w:rPr>
          <w:rFonts w:eastAsia="Times New Roman"/>
          <w:sz w:val="22"/>
        </w:rPr>
        <w:t>workplace.</w:t>
      </w:r>
      <w:r w:rsidR="000B3BE6" w:rsidRPr="000B3BE6">
        <w:rPr>
          <w:rFonts w:eastAsia="Times New Roman"/>
          <w:sz w:val="22"/>
        </w:rPr>
        <w:fldChar w:fldCharType="begin"/>
      </w:r>
      <w:r w:rsidR="000B3BE6" w:rsidRPr="000B3BE6">
        <w:rPr>
          <w:rFonts w:eastAsia="Times New Roman"/>
          <w:sz w:val="22"/>
        </w:rPr>
        <w:instrText xml:space="preserve"> NOTEREF _Ref72490016 \f \h </w:instrText>
      </w:r>
      <w:r w:rsidR="000B3BE6">
        <w:rPr>
          <w:rFonts w:eastAsia="Times New Roman"/>
          <w:sz w:val="22"/>
        </w:rPr>
        <w:instrText xml:space="preserve"> \* MERGEFORMAT </w:instrText>
      </w:r>
      <w:r w:rsidR="000B3BE6" w:rsidRPr="000B3BE6">
        <w:rPr>
          <w:rFonts w:eastAsia="Times New Roman"/>
          <w:sz w:val="22"/>
        </w:rPr>
      </w:r>
      <w:r w:rsidR="000B3BE6" w:rsidRPr="000B3BE6">
        <w:rPr>
          <w:rFonts w:eastAsia="Times New Roman"/>
          <w:sz w:val="22"/>
        </w:rPr>
        <w:fldChar w:fldCharType="separate"/>
      </w:r>
      <w:r w:rsidR="005D0525" w:rsidRPr="005D0525">
        <w:rPr>
          <w:rStyle w:val="EndnoteReference"/>
          <w:sz w:val="22"/>
        </w:rPr>
        <w:t>45</w:t>
      </w:r>
      <w:r w:rsidR="000B3BE6" w:rsidRPr="000B3BE6">
        <w:rPr>
          <w:rFonts w:eastAsia="Times New Roman"/>
          <w:sz w:val="22"/>
        </w:rPr>
        <w:fldChar w:fldCharType="end"/>
      </w:r>
      <w:r w:rsidR="007028BF" w:rsidRPr="00FE6ACD">
        <w:rPr>
          <w:sz w:val="22"/>
        </w:rPr>
        <w:t xml:space="preserve"> </w:t>
      </w:r>
    </w:p>
    <w:p w14:paraId="191BFF60" w14:textId="25A6A4FB" w:rsidR="00C125FD" w:rsidRPr="00B51040" w:rsidRDefault="00C125FD" w:rsidP="00B51040">
      <w:pPr>
        <w:pStyle w:val="ListParagraph"/>
        <w:numPr>
          <w:ilvl w:val="0"/>
          <w:numId w:val="15"/>
        </w:numPr>
        <w:spacing w:after="120"/>
        <w:ind w:left="357" w:hanging="357"/>
        <w:contextualSpacing w:val="0"/>
        <w:rPr>
          <w:sz w:val="22"/>
        </w:rPr>
      </w:pPr>
      <w:r>
        <w:rPr>
          <w:rFonts w:eastAsia="Times New Roman"/>
          <w:sz w:val="22"/>
        </w:rPr>
        <w:t xml:space="preserve">This is supported by research </w:t>
      </w:r>
      <w:r w:rsidR="003C4BC1">
        <w:rPr>
          <w:rFonts w:eastAsia="Times New Roman"/>
          <w:sz w:val="22"/>
        </w:rPr>
        <w:t xml:space="preserve">from other countries, which </w:t>
      </w:r>
      <w:r w:rsidR="005753C5">
        <w:rPr>
          <w:rFonts w:eastAsia="Times New Roman"/>
          <w:sz w:val="22"/>
        </w:rPr>
        <w:t xml:space="preserve">has </w:t>
      </w:r>
      <w:r w:rsidR="003C4BC1">
        <w:rPr>
          <w:rFonts w:eastAsia="Times New Roman"/>
          <w:sz w:val="22"/>
        </w:rPr>
        <w:t xml:space="preserve">found </w:t>
      </w:r>
      <w:r w:rsidR="00102242">
        <w:rPr>
          <w:rFonts w:eastAsia="Times New Roman"/>
          <w:sz w:val="22"/>
        </w:rPr>
        <w:t>that l</w:t>
      </w:r>
      <w:r w:rsidR="00102242" w:rsidRPr="00102242">
        <w:rPr>
          <w:rFonts w:eastAsia="Times New Roman"/>
          <w:sz w:val="22"/>
        </w:rPr>
        <w:t>ong term sickness absence due to musculoskeletal health problems was strongly associated with gender,</w:t>
      </w:r>
      <w:r w:rsidR="00CA0308">
        <w:rPr>
          <w:rFonts w:eastAsia="Times New Roman"/>
          <w:sz w:val="22"/>
        </w:rPr>
        <w:t xml:space="preserve"> with women on average </w:t>
      </w:r>
      <w:r w:rsidR="002D4C24">
        <w:rPr>
          <w:rFonts w:eastAsia="Times New Roman"/>
          <w:sz w:val="22"/>
        </w:rPr>
        <w:t xml:space="preserve">having a </w:t>
      </w:r>
      <w:r w:rsidR="002D4C24" w:rsidRPr="002D4C24">
        <w:rPr>
          <w:rFonts w:eastAsia="Times New Roman"/>
          <w:sz w:val="22"/>
        </w:rPr>
        <w:t xml:space="preserve">higher </w:t>
      </w:r>
      <w:r w:rsidR="002D4C24">
        <w:rPr>
          <w:rFonts w:eastAsia="Times New Roman"/>
          <w:sz w:val="22"/>
        </w:rPr>
        <w:t xml:space="preserve">number of </w:t>
      </w:r>
      <w:r w:rsidR="002D4C24" w:rsidRPr="002D4C24">
        <w:rPr>
          <w:rFonts w:eastAsia="Times New Roman"/>
          <w:sz w:val="22"/>
        </w:rPr>
        <w:t>sickness absence</w:t>
      </w:r>
      <w:r w:rsidR="002D4C24">
        <w:rPr>
          <w:rFonts w:eastAsia="Times New Roman"/>
          <w:sz w:val="22"/>
        </w:rPr>
        <w:t>s</w:t>
      </w:r>
      <w:r w:rsidR="00912FFC">
        <w:rPr>
          <w:rFonts w:eastAsia="Times New Roman"/>
          <w:sz w:val="22"/>
        </w:rPr>
        <w:t xml:space="preserve"> </w:t>
      </w:r>
      <w:r w:rsidR="002D4C24" w:rsidRPr="002D4C24">
        <w:rPr>
          <w:rFonts w:eastAsia="Times New Roman"/>
          <w:sz w:val="22"/>
        </w:rPr>
        <w:t xml:space="preserve">and </w:t>
      </w:r>
      <w:r w:rsidR="00334CFC">
        <w:rPr>
          <w:rFonts w:eastAsia="Times New Roman"/>
          <w:sz w:val="22"/>
        </w:rPr>
        <w:t xml:space="preserve">a </w:t>
      </w:r>
      <w:r w:rsidR="002D4C24" w:rsidRPr="002D4C24">
        <w:rPr>
          <w:rFonts w:eastAsia="Times New Roman"/>
          <w:sz w:val="22"/>
        </w:rPr>
        <w:t xml:space="preserve">longer mean duration of </w:t>
      </w:r>
      <w:r w:rsidR="00912FFC">
        <w:rPr>
          <w:rFonts w:eastAsia="Times New Roman"/>
          <w:sz w:val="22"/>
        </w:rPr>
        <w:t xml:space="preserve">sickness </w:t>
      </w:r>
      <w:r w:rsidR="002D4C24" w:rsidRPr="002D4C24">
        <w:rPr>
          <w:rFonts w:eastAsia="Times New Roman"/>
          <w:sz w:val="22"/>
        </w:rPr>
        <w:t>episodes</w:t>
      </w:r>
      <w:r w:rsidR="00912FFC">
        <w:rPr>
          <w:rFonts w:eastAsia="Times New Roman"/>
          <w:sz w:val="22"/>
        </w:rPr>
        <w:t xml:space="preserve"> attributed to musculoskeletal ill health.</w:t>
      </w:r>
      <w:r w:rsidR="00912FFC">
        <w:rPr>
          <w:rStyle w:val="EndnoteReference"/>
          <w:rFonts w:eastAsia="Times New Roman"/>
          <w:sz w:val="22"/>
        </w:rPr>
        <w:endnoteReference w:id="48"/>
      </w:r>
      <w:r w:rsidR="00865DB7">
        <w:rPr>
          <w:rFonts w:eastAsia="Times New Roman"/>
          <w:sz w:val="22"/>
          <w:vertAlign w:val="superscript"/>
        </w:rPr>
        <w:t xml:space="preserve">, </w:t>
      </w:r>
      <w:r w:rsidR="00865DB7">
        <w:rPr>
          <w:rStyle w:val="EndnoteReference"/>
          <w:rFonts w:eastAsia="Times New Roman"/>
          <w:sz w:val="22"/>
        </w:rPr>
        <w:endnoteReference w:id="49"/>
      </w:r>
      <w:r w:rsidR="00912FFC">
        <w:rPr>
          <w:rFonts w:eastAsia="Times New Roman"/>
          <w:sz w:val="22"/>
        </w:rPr>
        <w:t xml:space="preserve"> </w:t>
      </w:r>
    </w:p>
    <w:p w14:paraId="3B060A71" w14:textId="64DB9AAD" w:rsidR="00B51040" w:rsidRPr="00B51040" w:rsidRDefault="00250964" w:rsidP="00B51040">
      <w:pPr>
        <w:pStyle w:val="ListParagraph"/>
        <w:numPr>
          <w:ilvl w:val="0"/>
          <w:numId w:val="15"/>
        </w:numPr>
        <w:spacing w:after="120"/>
        <w:ind w:left="357" w:hanging="357"/>
        <w:contextualSpacing w:val="0"/>
        <w:rPr>
          <w:sz w:val="22"/>
        </w:rPr>
      </w:pPr>
      <w:r w:rsidRPr="00FE6ACD">
        <w:rPr>
          <w:sz w:val="22"/>
        </w:rPr>
        <w:t>Women are</w:t>
      </w:r>
      <w:r w:rsidR="003461C3" w:rsidRPr="00FE6ACD">
        <w:rPr>
          <w:sz w:val="22"/>
        </w:rPr>
        <w:t xml:space="preserve"> also</w:t>
      </w:r>
      <w:r w:rsidRPr="00FE6ACD">
        <w:rPr>
          <w:sz w:val="22"/>
        </w:rPr>
        <w:t xml:space="preserve"> significantly more likely to </w:t>
      </w:r>
      <w:r w:rsidR="00BA2812">
        <w:rPr>
          <w:sz w:val="22"/>
        </w:rPr>
        <w:t>need</w:t>
      </w:r>
      <w:r w:rsidR="0067528A">
        <w:rPr>
          <w:sz w:val="22"/>
        </w:rPr>
        <w:t xml:space="preserve"> </w:t>
      </w:r>
      <w:r w:rsidR="0067528A" w:rsidRPr="00FE6ACD">
        <w:rPr>
          <w:sz w:val="22"/>
        </w:rPr>
        <w:t xml:space="preserve">additional support </w:t>
      </w:r>
      <w:r w:rsidRPr="00FE6ACD">
        <w:rPr>
          <w:sz w:val="22"/>
        </w:rPr>
        <w:t xml:space="preserve">from the </w:t>
      </w:r>
      <w:r w:rsidR="00256EC7" w:rsidRPr="00FE6ACD">
        <w:rPr>
          <w:sz w:val="22"/>
        </w:rPr>
        <w:t>g</w:t>
      </w:r>
      <w:r w:rsidRPr="00FE6ACD">
        <w:rPr>
          <w:sz w:val="22"/>
        </w:rPr>
        <w:t>overnment’s Access to Work scheme, which is designed to help people with health conditions and disabilities find and stay in work. According to 2019/20 data</w:t>
      </w:r>
      <w:r w:rsidR="003461C3" w:rsidRPr="00FE6ACD">
        <w:rPr>
          <w:sz w:val="22"/>
        </w:rPr>
        <w:t>,</w:t>
      </w:r>
      <w:r w:rsidRPr="00FE6ACD">
        <w:rPr>
          <w:sz w:val="22"/>
        </w:rPr>
        <w:t xml:space="preserve"> 63</w:t>
      </w:r>
      <w:r w:rsidRPr="00B51040">
        <w:rPr>
          <w:sz w:val="22"/>
        </w:rPr>
        <w:t>% of people who had an Access to Work application approved were women.</w:t>
      </w:r>
      <w:r w:rsidRPr="007A09E0">
        <w:rPr>
          <w:rStyle w:val="EndnoteReference"/>
          <w:sz w:val="22"/>
        </w:rPr>
        <w:endnoteReference w:id="50"/>
      </w:r>
      <w:r w:rsidRPr="00B51040">
        <w:rPr>
          <w:sz w:val="22"/>
        </w:rPr>
        <w:t xml:space="preserve"> </w:t>
      </w:r>
    </w:p>
    <w:p w14:paraId="0B5DD353" w14:textId="77777777" w:rsidR="00C53E2D" w:rsidRDefault="00250964" w:rsidP="003153CC">
      <w:pPr>
        <w:spacing w:after="60"/>
        <w:rPr>
          <w:b/>
          <w:bCs/>
          <w:sz w:val="22"/>
        </w:rPr>
      </w:pPr>
      <w:r w:rsidRPr="00B51040">
        <w:rPr>
          <w:b/>
          <w:bCs/>
          <w:sz w:val="22"/>
        </w:rPr>
        <w:t>Impact of COVID-19 on women’s healt</w:t>
      </w:r>
      <w:r w:rsidR="00C53E2D">
        <w:rPr>
          <w:b/>
          <w:bCs/>
          <w:sz w:val="22"/>
        </w:rPr>
        <w:t>h</w:t>
      </w:r>
    </w:p>
    <w:p w14:paraId="57BDB4B6" w14:textId="2F4A6614" w:rsidR="00C35471" w:rsidRPr="00C35471" w:rsidRDefault="00250964" w:rsidP="001B12E0">
      <w:pPr>
        <w:pStyle w:val="ListParagraph"/>
        <w:numPr>
          <w:ilvl w:val="0"/>
          <w:numId w:val="15"/>
        </w:numPr>
        <w:spacing w:after="120"/>
        <w:ind w:left="357" w:hanging="357"/>
        <w:contextualSpacing w:val="0"/>
        <w:rPr>
          <w:rFonts w:cstheme="minorBidi"/>
          <w:b/>
          <w:bCs/>
          <w:sz w:val="20"/>
          <w:szCs w:val="20"/>
        </w:rPr>
      </w:pPr>
      <w:r w:rsidRPr="3AEC5E49">
        <w:rPr>
          <w:sz w:val="22"/>
        </w:rPr>
        <w:t>This</w:t>
      </w:r>
      <w:r w:rsidR="006E397B" w:rsidRPr="3AEC5E49">
        <w:rPr>
          <w:sz w:val="22"/>
        </w:rPr>
        <w:t xml:space="preserve"> section </w:t>
      </w:r>
      <w:r w:rsidRPr="3AEC5E49">
        <w:rPr>
          <w:sz w:val="22"/>
        </w:rPr>
        <w:t>provides an overview of the key findings from survey research we have conducted during the pandemic</w:t>
      </w:r>
      <w:r w:rsidR="00CC3B90" w:rsidRPr="3AEC5E49">
        <w:rPr>
          <w:sz w:val="22"/>
        </w:rPr>
        <w:t>,</w:t>
      </w:r>
      <w:r w:rsidRPr="3AEC5E49">
        <w:rPr>
          <w:sz w:val="22"/>
        </w:rPr>
        <w:t xml:space="preserve"> to </w:t>
      </w:r>
      <w:r w:rsidR="007572CC" w:rsidRPr="3AEC5E49">
        <w:rPr>
          <w:sz w:val="22"/>
        </w:rPr>
        <w:t>better</w:t>
      </w:r>
      <w:r w:rsidRPr="3AEC5E49">
        <w:rPr>
          <w:sz w:val="22"/>
        </w:rPr>
        <w:t xml:space="preserve"> understand the impact of COVID-19 on </w:t>
      </w:r>
      <w:r w:rsidR="007572CC" w:rsidRPr="3AEC5E49">
        <w:rPr>
          <w:sz w:val="22"/>
        </w:rPr>
        <w:t>women</w:t>
      </w:r>
      <w:r w:rsidRPr="3AEC5E49">
        <w:rPr>
          <w:sz w:val="22"/>
        </w:rPr>
        <w:t xml:space="preserve"> with musculoskeletal conditions and on the musculoskeletal health of the wider population</w:t>
      </w:r>
      <w:r w:rsidR="00D55BD6" w:rsidRPr="3AEC5E49">
        <w:rPr>
          <w:sz w:val="22"/>
        </w:rPr>
        <w:t>.</w:t>
      </w:r>
    </w:p>
    <w:p w14:paraId="1CB158B5" w14:textId="2FDDA02D" w:rsidR="001B12E0" w:rsidRPr="00E53E3B" w:rsidRDefault="00250964" w:rsidP="00EA5269">
      <w:pPr>
        <w:pStyle w:val="ListParagraph"/>
        <w:numPr>
          <w:ilvl w:val="0"/>
          <w:numId w:val="15"/>
        </w:numPr>
        <w:spacing w:after="0"/>
        <w:ind w:left="357" w:hanging="357"/>
        <w:contextualSpacing w:val="0"/>
        <w:rPr>
          <w:rFonts w:cstheme="minorBidi"/>
          <w:sz w:val="22"/>
        </w:rPr>
      </w:pPr>
      <w:r w:rsidRPr="001B12E0">
        <w:rPr>
          <w:sz w:val="22"/>
        </w:rPr>
        <w:t>Our COVID-19 Pain Impact survey, which had 5014 respondents in England</w:t>
      </w:r>
      <w:r w:rsidR="00276A9D" w:rsidRPr="00E53E3B">
        <w:rPr>
          <w:sz w:val="22"/>
        </w:rPr>
        <w:t>,</w:t>
      </w:r>
      <w:r w:rsidR="00D55BD6" w:rsidRPr="001B12E0">
        <w:rPr>
          <w:sz w:val="22"/>
        </w:rPr>
        <w:t xml:space="preserve"> looked at </w:t>
      </w:r>
      <w:r w:rsidR="00FB3A4D" w:rsidRPr="001B12E0">
        <w:rPr>
          <w:sz w:val="22"/>
        </w:rPr>
        <w:t xml:space="preserve">how the pandemic impacted </w:t>
      </w:r>
      <w:r w:rsidR="00D55BD6" w:rsidRPr="001B12E0">
        <w:rPr>
          <w:sz w:val="22"/>
        </w:rPr>
        <w:t>several key areas</w:t>
      </w:r>
      <w:r w:rsidR="00B4456F" w:rsidRPr="001B12E0">
        <w:rPr>
          <w:sz w:val="22"/>
        </w:rPr>
        <w:t xml:space="preserve"> of daily li</w:t>
      </w:r>
      <w:r w:rsidR="00FB3A4D" w:rsidRPr="001B12E0">
        <w:rPr>
          <w:sz w:val="22"/>
        </w:rPr>
        <w:t>f</w:t>
      </w:r>
      <w:r w:rsidR="00B4456F" w:rsidRPr="001B12E0">
        <w:rPr>
          <w:sz w:val="22"/>
        </w:rPr>
        <w:t>e</w:t>
      </w:r>
      <w:r w:rsidR="001B12E0" w:rsidRPr="001B12E0">
        <w:rPr>
          <w:sz w:val="22"/>
        </w:rPr>
        <w:t>.</w:t>
      </w:r>
      <w:bookmarkStart w:id="12" w:name="_Ref73962978"/>
      <w:r w:rsidR="00B64CB5" w:rsidRPr="00E53E3B">
        <w:rPr>
          <w:rStyle w:val="EndnoteReference"/>
          <w:sz w:val="22"/>
        </w:rPr>
        <w:endnoteReference w:id="51"/>
      </w:r>
      <w:bookmarkEnd w:id="12"/>
      <w:r w:rsidR="00B4456F" w:rsidRPr="001B12E0">
        <w:rPr>
          <w:sz w:val="22"/>
        </w:rPr>
        <w:t xml:space="preserve"> </w:t>
      </w:r>
    </w:p>
    <w:p w14:paraId="02785A31" w14:textId="16323C21" w:rsidR="001B12E0" w:rsidRPr="00FA7C0C" w:rsidRDefault="00D55BD6" w:rsidP="00FA7C0C">
      <w:pPr>
        <w:pStyle w:val="Default"/>
        <w:numPr>
          <w:ilvl w:val="0"/>
          <w:numId w:val="10"/>
        </w:numPr>
        <w:rPr>
          <w:sz w:val="22"/>
          <w:szCs w:val="22"/>
        </w:rPr>
      </w:pPr>
      <w:r w:rsidRPr="00E53E3B">
        <w:rPr>
          <w:color w:val="000000" w:themeColor="text1"/>
          <w:sz w:val="22"/>
          <w:szCs w:val="22"/>
        </w:rPr>
        <w:t>On</w:t>
      </w:r>
      <w:r w:rsidR="0012540B" w:rsidRPr="00E53E3B">
        <w:rPr>
          <w:color w:val="000000" w:themeColor="text1"/>
          <w:sz w:val="22"/>
          <w:szCs w:val="22"/>
        </w:rPr>
        <w:t xml:space="preserve"> the</w:t>
      </w:r>
      <w:r w:rsidR="00250964" w:rsidRPr="00E53E3B">
        <w:rPr>
          <w:color w:val="000000" w:themeColor="text1"/>
          <w:sz w:val="22"/>
          <w:szCs w:val="22"/>
        </w:rPr>
        <w:t xml:space="preserve"> overall impact of the pandemic on the physical health and level of pain experienced by people</w:t>
      </w:r>
      <w:r w:rsidR="00250964" w:rsidRPr="00FA7C0C">
        <w:rPr>
          <w:sz w:val="22"/>
          <w:szCs w:val="22"/>
        </w:rPr>
        <w:t xml:space="preserve"> with musculoskeletal conditions, as well as their ability to manage their condition</w:t>
      </w:r>
      <w:r w:rsidR="0012540B" w:rsidRPr="00FA7C0C">
        <w:rPr>
          <w:sz w:val="22"/>
          <w:szCs w:val="22"/>
        </w:rPr>
        <w:t xml:space="preserve">, </w:t>
      </w:r>
      <w:r w:rsidR="00EA5269">
        <w:rPr>
          <w:sz w:val="22"/>
          <w:szCs w:val="22"/>
        </w:rPr>
        <w:t xml:space="preserve">the survey data </w:t>
      </w:r>
      <w:r w:rsidR="00EA5269" w:rsidRPr="00070645">
        <w:rPr>
          <w:sz w:val="22"/>
          <w:szCs w:val="22"/>
        </w:rPr>
        <w:t>indicated</w:t>
      </w:r>
      <w:r w:rsidR="00091A97" w:rsidRPr="00070645">
        <w:rPr>
          <w:sz w:val="22"/>
          <w:szCs w:val="22"/>
        </w:rPr>
        <w:t>:</w:t>
      </w:r>
      <w:r w:rsidR="00070645">
        <w:rPr>
          <w:sz w:val="22"/>
          <w:szCs w:val="22"/>
        </w:rPr>
        <w:t xml:space="preserve"> </w:t>
      </w:r>
      <w:r w:rsidR="00070645" w:rsidRPr="00070645">
        <w:rPr>
          <w:sz w:val="22"/>
          <w:szCs w:val="22"/>
        </w:rPr>
        <w:fldChar w:fldCharType="begin"/>
      </w:r>
      <w:r w:rsidR="00070645" w:rsidRPr="00070645">
        <w:rPr>
          <w:sz w:val="22"/>
          <w:szCs w:val="22"/>
        </w:rPr>
        <w:instrText xml:space="preserve"> NOTEREF _Ref73962978 \f \h </w:instrText>
      </w:r>
      <w:r w:rsidR="00070645">
        <w:rPr>
          <w:sz w:val="22"/>
          <w:szCs w:val="22"/>
        </w:rPr>
        <w:instrText xml:space="preserve"> \* MERGEFORMAT </w:instrText>
      </w:r>
      <w:r w:rsidR="00070645" w:rsidRPr="00070645">
        <w:rPr>
          <w:sz w:val="22"/>
          <w:szCs w:val="22"/>
        </w:rPr>
      </w:r>
      <w:r w:rsidR="00070645" w:rsidRPr="00070645">
        <w:rPr>
          <w:sz w:val="22"/>
          <w:szCs w:val="22"/>
        </w:rPr>
        <w:fldChar w:fldCharType="separate"/>
      </w:r>
      <w:r w:rsidR="005D0525" w:rsidRPr="005D0525">
        <w:rPr>
          <w:rStyle w:val="EndnoteReference"/>
          <w:sz w:val="22"/>
          <w:szCs w:val="22"/>
        </w:rPr>
        <w:t>50</w:t>
      </w:r>
      <w:r w:rsidR="00070645" w:rsidRPr="00070645">
        <w:rPr>
          <w:sz w:val="22"/>
          <w:szCs w:val="22"/>
        </w:rPr>
        <w:fldChar w:fldCharType="end"/>
      </w:r>
    </w:p>
    <w:p w14:paraId="3529FA30" w14:textId="77777777" w:rsidR="001B12E0" w:rsidRPr="00E53E3B" w:rsidRDefault="00250964" w:rsidP="001B12E0">
      <w:pPr>
        <w:pStyle w:val="ListParagraph"/>
        <w:numPr>
          <w:ilvl w:val="1"/>
          <w:numId w:val="27"/>
        </w:numPr>
        <w:spacing w:after="120"/>
        <w:rPr>
          <w:rFonts w:cstheme="minorBidi"/>
          <w:sz w:val="22"/>
        </w:rPr>
      </w:pPr>
      <w:r w:rsidRPr="001B12E0">
        <w:rPr>
          <w:sz w:val="22"/>
        </w:rPr>
        <w:t>50% of people did not feel that they could manage their pain and do things around the home (52% of women, 44% of men)</w:t>
      </w:r>
      <w:r w:rsidR="00AB0D25" w:rsidRPr="001B12E0">
        <w:rPr>
          <w:sz w:val="22"/>
        </w:rPr>
        <w:t xml:space="preserve">. </w:t>
      </w:r>
    </w:p>
    <w:p w14:paraId="20C6748F" w14:textId="77777777" w:rsidR="001B12E0" w:rsidRPr="00E53E3B" w:rsidRDefault="00250964" w:rsidP="001B12E0">
      <w:pPr>
        <w:pStyle w:val="ListParagraph"/>
        <w:numPr>
          <w:ilvl w:val="1"/>
          <w:numId w:val="27"/>
        </w:numPr>
        <w:spacing w:after="120"/>
        <w:rPr>
          <w:rFonts w:cstheme="minorBidi"/>
          <w:sz w:val="22"/>
        </w:rPr>
      </w:pPr>
      <w:r w:rsidRPr="001B12E0">
        <w:rPr>
          <w:sz w:val="22"/>
        </w:rPr>
        <w:t>81% wanted more information and guidance on how to manage their pain</w:t>
      </w:r>
      <w:r w:rsidR="00AB0D25" w:rsidRPr="001B12E0">
        <w:rPr>
          <w:sz w:val="22"/>
        </w:rPr>
        <w:t xml:space="preserve"> </w:t>
      </w:r>
      <w:r w:rsidRPr="001B12E0">
        <w:rPr>
          <w:sz w:val="22"/>
        </w:rPr>
        <w:t>(same % for men and women)</w:t>
      </w:r>
      <w:r w:rsidR="00AB0D25" w:rsidRPr="001B12E0">
        <w:rPr>
          <w:sz w:val="22"/>
        </w:rPr>
        <w:t>.</w:t>
      </w:r>
    </w:p>
    <w:p w14:paraId="0E4D130F" w14:textId="77777777" w:rsidR="007B5E5C" w:rsidRPr="00E53E3B" w:rsidRDefault="00250964" w:rsidP="007B5E5C">
      <w:pPr>
        <w:pStyle w:val="ListParagraph"/>
        <w:numPr>
          <w:ilvl w:val="1"/>
          <w:numId w:val="27"/>
        </w:numPr>
        <w:spacing w:after="120"/>
        <w:rPr>
          <w:rFonts w:cstheme="minorBidi"/>
          <w:sz w:val="22"/>
        </w:rPr>
      </w:pPr>
      <w:r w:rsidRPr="001B12E0">
        <w:rPr>
          <w:sz w:val="22"/>
        </w:rPr>
        <w:t>93% felt the government needed to do more to raise awareness of the pain experience</w:t>
      </w:r>
      <w:r w:rsidR="00BE7F9F" w:rsidRPr="001B12E0">
        <w:rPr>
          <w:sz w:val="22"/>
        </w:rPr>
        <w:t>d</w:t>
      </w:r>
      <w:r w:rsidRPr="001B12E0">
        <w:rPr>
          <w:sz w:val="22"/>
        </w:rPr>
        <w:t xml:space="preserve"> by people with musculoskeletal conditions</w:t>
      </w:r>
      <w:r w:rsidR="00AB0D25" w:rsidRPr="001B12E0">
        <w:rPr>
          <w:sz w:val="22"/>
        </w:rPr>
        <w:t xml:space="preserve"> </w:t>
      </w:r>
      <w:r w:rsidRPr="001B12E0">
        <w:rPr>
          <w:sz w:val="22"/>
        </w:rPr>
        <w:t>(same % for men and women)</w:t>
      </w:r>
      <w:r w:rsidR="00AB0D25" w:rsidRPr="001B12E0">
        <w:rPr>
          <w:sz w:val="22"/>
        </w:rPr>
        <w:t>.</w:t>
      </w:r>
    </w:p>
    <w:p w14:paraId="54BA00DE" w14:textId="590D1985" w:rsidR="007B5E5C" w:rsidRPr="00070645" w:rsidRDefault="003C748F" w:rsidP="00070645">
      <w:pPr>
        <w:pStyle w:val="Default"/>
        <w:numPr>
          <w:ilvl w:val="0"/>
          <w:numId w:val="10"/>
        </w:numPr>
        <w:rPr>
          <w:sz w:val="22"/>
          <w:szCs w:val="22"/>
        </w:rPr>
      </w:pPr>
      <w:r w:rsidRPr="00FA7C0C">
        <w:rPr>
          <w:sz w:val="22"/>
          <w:szCs w:val="22"/>
        </w:rPr>
        <w:t>On t</w:t>
      </w:r>
      <w:r w:rsidR="00250964" w:rsidRPr="00FA7C0C">
        <w:rPr>
          <w:sz w:val="22"/>
          <w:szCs w:val="22"/>
        </w:rPr>
        <w:t>he overall impact of the pandemic and subsequent restrictions on the mental health and wellbeing of people with musculoskeletal conditions</w:t>
      </w:r>
      <w:r w:rsidR="00331681">
        <w:rPr>
          <w:sz w:val="22"/>
          <w:szCs w:val="22"/>
        </w:rPr>
        <w:t>, the survey</w:t>
      </w:r>
      <w:r w:rsidR="009E5F1B" w:rsidRPr="00FA7C0C">
        <w:rPr>
          <w:sz w:val="22"/>
          <w:szCs w:val="22"/>
        </w:rPr>
        <w:t xml:space="preserve"> found</w:t>
      </w:r>
      <w:r w:rsidR="004A6118">
        <w:rPr>
          <w:sz w:val="22"/>
          <w:szCs w:val="22"/>
        </w:rPr>
        <w:t>:</w:t>
      </w:r>
      <w:r w:rsidR="00070645" w:rsidRPr="00070645">
        <w:rPr>
          <w:sz w:val="22"/>
          <w:szCs w:val="22"/>
        </w:rPr>
        <w:t xml:space="preserve"> </w:t>
      </w:r>
      <w:r w:rsidR="00070645" w:rsidRPr="00070645">
        <w:rPr>
          <w:sz w:val="22"/>
          <w:szCs w:val="22"/>
        </w:rPr>
        <w:fldChar w:fldCharType="begin"/>
      </w:r>
      <w:r w:rsidR="00070645" w:rsidRPr="00070645">
        <w:rPr>
          <w:sz w:val="22"/>
          <w:szCs w:val="22"/>
        </w:rPr>
        <w:instrText xml:space="preserve"> NOTEREF _Ref73962978 \f \h </w:instrText>
      </w:r>
      <w:r w:rsidR="00070645">
        <w:rPr>
          <w:sz w:val="22"/>
          <w:szCs w:val="22"/>
        </w:rPr>
        <w:instrText xml:space="preserve"> \* MERGEFORMAT </w:instrText>
      </w:r>
      <w:r w:rsidR="00070645" w:rsidRPr="00070645">
        <w:rPr>
          <w:sz w:val="22"/>
          <w:szCs w:val="22"/>
        </w:rPr>
      </w:r>
      <w:r w:rsidR="00070645" w:rsidRPr="00070645">
        <w:rPr>
          <w:sz w:val="22"/>
          <w:szCs w:val="22"/>
        </w:rPr>
        <w:fldChar w:fldCharType="separate"/>
      </w:r>
      <w:r w:rsidR="005D0525" w:rsidRPr="005D0525">
        <w:rPr>
          <w:rStyle w:val="EndnoteReference"/>
          <w:sz w:val="22"/>
          <w:szCs w:val="22"/>
        </w:rPr>
        <w:t>50</w:t>
      </w:r>
      <w:r w:rsidR="00070645" w:rsidRPr="00070645">
        <w:rPr>
          <w:sz w:val="22"/>
          <w:szCs w:val="22"/>
        </w:rPr>
        <w:fldChar w:fldCharType="end"/>
      </w:r>
    </w:p>
    <w:p w14:paraId="32A73F26" w14:textId="77777777" w:rsidR="007B5E5C" w:rsidRPr="00E53E3B" w:rsidRDefault="00250964" w:rsidP="007B5E5C">
      <w:pPr>
        <w:pStyle w:val="ListParagraph"/>
        <w:numPr>
          <w:ilvl w:val="1"/>
          <w:numId w:val="27"/>
        </w:numPr>
        <w:spacing w:after="120"/>
        <w:rPr>
          <w:rFonts w:cstheme="minorBidi"/>
          <w:sz w:val="22"/>
        </w:rPr>
      </w:pPr>
      <w:r w:rsidRPr="007B5E5C">
        <w:rPr>
          <w:color w:val="000000"/>
          <w:sz w:val="22"/>
        </w:rPr>
        <w:lastRenderedPageBreak/>
        <w:t>40% reported feeling lonelier since the pandemic (41% of women, 37% of men), a figure that rose to 46% among those who were shielding (47% of women, 45% of men).</w:t>
      </w:r>
      <w:r w:rsidR="00B64CB5" w:rsidRPr="007B5E5C">
        <w:rPr>
          <w:color w:val="000000"/>
          <w:sz w:val="22"/>
        </w:rPr>
        <w:t xml:space="preserve"> </w:t>
      </w:r>
    </w:p>
    <w:p w14:paraId="0383F6C6" w14:textId="77777777" w:rsidR="00FA7C0C" w:rsidRPr="00E53E3B" w:rsidRDefault="00250964" w:rsidP="00FA7C0C">
      <w:pPr>
        <w:pStyle w:val="ListParagraph"/>
        <w:numPr>
          <w:ilvl w:val="1"/>
          <w:numId w:val="27"/>
        </w:numPr>
        <w:spacing w:after="120"/>
        <w:rPr>
          <w:rFonts w:cstheme="minorBidi"/>
          <w:sz w:val="22"/>
        </w:rPr>
      </w:pPr>
      <w:r w:rsidRPr="007B5E5C">
        <w:rPr>
          <w:color w:val="000000"/>
          <w:sz w:val="22"/>
        </w:rPr>
        <w:t>65% of people said that having the opportunity to connect with other people with musculoskeletal conditions for support would help with their pain management (65% of women, 62% of men)</w:t>
      </w:r>
      <w:r w:rsidR="00C420D3">
        <w:rPr>
          <w:color w:val="000000"/>
          <w:sz w:val="22"/>
        </w:rPr>
        <w:t>.</w:t>
      </w:r>
    </w:p>
    <w:p w14:paraId="26888A29" w14:textId="11D6544B" w:rsidR="00250964" w:rsidRPr="00FA7C0C" w:rsidRDefault="009048FF" w:rsidP="00FA7C0C">
      <w:pPr>
        <w:pStyle w:val="Default"/>
        <w:numPr>
          <w:ilvl w:val="0"/>
          <w:numId w:val="10"/>
        </w:numPr>
        <w:rPr>
          <w:sz w:val="22"/>
          <w:szCs w:val="22"/>
        </w:rPr>
      </w:pPr>
      <w:r w:rsidRPr="00FA7C0C">
        <w:rPr>
          <w:sz w:val="22"/>
          <w:szCs w:val="22"/>
        </w:rPr>
        <w:t>On t</w:t>
      </w:r>
      <w:r w:rsidR="00250964" w:rsidRPr="00FA7C0C">
        <w:rPr>
          <w:sz w:val="22"/>
          <w:szCs w:val="22"/>
        </w:rPr>
        <w:t>he impact of COVID-19 on employment for people with existing musculoskeletal conditions</w:t>
      </w:r>
      <w:r w:rsidRPr="00FA7C0C">
        <w:rPr>
          <w:sz w:val="22"/>
          <w:szCs w:val="22"/>
        </w:rPr>
        <w:t>, it found</w:t>
      </w:r>
      <w:r w:rsidR="00327767" w:rsidRPr="00FA7C0C">
        <w:rPr>
          <w:sz w:val="22"/>
          <w:szCs w:val="22"/>
        </w:rPr>
        <w:t xml:space="preserve"> that </w:t>
      </w:r>
      <w:r w:rsidR="00CF3EB9" w:rsidRPr="00FA7C0C">
        <w:rPr>
          <w:sz w:val="22"/>
          <w:szCs w:val="22"/>
        </w:rPr>
        <w:t xml:space="preserve">for people </w:t>
      </w:r>
      <w:r w:rsidR="00250964" w:rsidRPr="00FA7C0C">
        <w:rPr>
          <w:sz w:val="22"/>
          <w:szCs w:val="22"/>
        </w:rPr>
        <w:t>who had started working from home</w:t>
      </w:r>
      <w:r w:rsidR="00331681">
        <w:rPr>
          <w:sz w:val="22"/>
          <w:szCs w:val="22"/>
        </w:rPr>
        <w:t>, the data indicated that</w:t>
      </w:r>
      <w:r w:rsidR="004A6118">
        <w:rPr>
          <w:sz w:val="22"/>
          <w:szCs w:val="22"/>
        </w:rPr>
        <w:t>:</w:t>
      </w:r>
      <w:r w:rsidR="00E53E3B" w:rsidRPr="00E53E3B">
        <w:rPr>
          <w:sz w:val="22"/>
          <w:szCs w:val="22"/>
        </w:rPr>
        <w:t xml:space="preserve"> </w:t>
      </w:r>
      <w:r w:rsidR="00070645" w:rsidRPr="00070645">
        <w:rPr>
          <w:sz w:val="22"/>
          <w:szCs w:val="22"/>
        </w:rPr>
        <w:fldChar w:fldCharType="begin"/>
      </w:r>
      <w:r w:rsidR="00070645" w:rsidRPr="00070645">
        <w:rPr>
          <w:sz w:val="22"/>
          <w:szCs w:val="22"/>
        </w:rPr>
        <w:instrText xml:space="preserve"> NOTEREF _Ref73962978 \f \h </w:instrText>
      </w:r>
      <w:r w:rsidR="00070645">
        <w:rPr>
          <w:sz w:val="22"/>
          <w:szCs w:val="22"/>
        </w:rPr>
        <w:instrText xml:space="preserve"> \* MERGEFORMAT </w:instrText>
      </w:r>
      <w:r w:rsidR="00070645" w:rsidRPr="00070645">
        <w:rPr>
          <w:sz w:val="22"/>
          <w:szCs w:val="22"/>
        </w:rPr>
      </w:r>
      <w:r w:rsidR="00070645" w:rsidRPr="00070645">
        <w:rPr>
          <w:sz w:val="22"/>
          <w:szCs w:val="22"/>
        </w:rPr>
        <w:fldChar w:fldCharType="separate"/>
      </w:r>
      <w:r w:rsidR="005D0525" w:rsidRPr="005D0525">
        <w:rPr>
          <w:rStyle w:val="EndnoteReference"/>
          <w:sz w:val="22"/>
          <w:szCs w:val="22"/>
        </w:rPr>
        <w:t>50</w:t>
      </w:r>
      <w:r w:rsidR="00070645" w:rsidRPr="00070645">
        <w:rPr>
          <w:sz w:val="22"/>
          <w:szCs w:val="22"/>
        </w:rPr>
        <w:fldChar w:fldCharType="end"/>
      </w:r>
    </w:p>
    <w:p w14:paraId="5F290DED" w14:textId="5FF73D90" w:rsidR="00250964" w:rsidRPr="007A09E0" w:rsidRDefault="00250964" w:rsidP="00327767">
      <w:pPr>
        <w:pStyle w:val="Default"/>
        <w:numPr>
          <w:ilvl w:val="1"/>
          <w:numId w:val="6"/>
        </w:numPr>
        <w:rPr>
          <w:sz w:val="22"/>
          <w:szCs w:val="22"/>
        </w:rPr>
      </w:pPr>
      <w:r w:rsidRPr="007A09E0">
        <w:rPr>
          <w:sz w:val="22"/>
          <w:szCs w:val="22"/>
        </w:rPr>
        <w:t>60% felt it benefitted their physical health (63% of women, 55% of men)</w:t>
      </w:r>
      <w:r w:rsidR="00C27BFA">
        <w:rPr>
          <w:sz w:val="22"/>
          <w:szCs w:val="22"/>
        </w:rPr>
        <w:t>.</w:t>
      </w:r>
    </w:p>
    <w:p w14:paraId="45081E6E" w14:textId="2B01A59D" w:rsidR="00250964" w:rsidRPr="007A09E0" w:rsidRDefault="00250964" w:rsidP="00327767">
      <w:pPr>
        <w:pStyle w:val="Default"/>
        <w:numPr>
          <w:ilvl w:val="1"/>
          <w:numId w:val="6"/>
        </w:numPr>
        <w:rPr>
          <w:sz w:val="22"/>
          <w:szCs w:val="22"/>
        </w:rPr>
      </w:pPr>
      <w:r w:rsidRPr="007A09E0">
        <w:rPr>
          <w:sz w:val="22"/>
          <w:szCs w:val="22"/>
        </w:rPr>
        <w:t>53% enjoyed the flexibility working from home afforded them (53% of women, 49% of men)</w:t>
      </w:r>
      <w:r w:rsidR="00C27BFA">
        <w:rPr>
          <w:sz w:val="22"/>
          <w:szCs w:val="22"/>
        </w:rPr>
        <w:t>.</w:t>
      </w:r>
    </w:p>
    <w:p w14:paraId="638439ED" w14:textId="724A7401" w:rsidR="00250964" w:rsidRPr="007A09E0" w:rsidRDefault="00250964" w:rsidP="00327767">
      <w:pPr>
        <w:pStyle w:val="Default"/>
        <w:numPr>
          <w:ilvl w:val="1"/>
          <w:numId w:val="6"/>
        </w:numPr>
        <w:rPr>
          <w:sz w:val="22"/>
          <w:szCs w:val="22"/>
        </w:rPr>
      </w:pPr>
      <w:r w:rsidRPr="007A09E0">
        <w:rPr>
          <w:sz w:val="22"/>
          <w:szCs w:val="22"/>
        </w:rPr>
        <w:t>49% wanted working from home to be a long-term option for them post-restrictions</w:t>
      </w:r>
      <w:r w:rsidR="00DF7BAA">
        <w:rPr>
          <w:sz w:val="22"/>
          <w:szCs w:val="22"/>
        </w:rPr>
        <w:t xml:space="preserve"> </w:t>
      </w:r>
      <w:r w:rsidRPr="007A09E0">
        <w:rPr>
          <w:sz w:val="22"/>
          <w:szCs w:val="22"/>
        </w:rPr>
        <w:t>(48% of women, 53% of men)</w:t>
      </w:r>
      <w:r w:rsidR="00C27BFA">
        <w:rPr>
          <w:sz w:val="22"/>
          <w:szCs w:val="22"/>
        </w:rPr>
        <w:t>.</w:t>
      </w:r>
    </w:p>
    <w:p w14:paraId="62AF1C60" w14:textId="355AD4F2" w:rsidR="00250964" w:rsidRPr="007A09E0" w:rsidRDefault="00250964" w:rsidP="00327767">
      <w:pPr>
        <w:pStyle w:val="Default"/>
        <w:numPr>
          <w:ilvl w:val="1"/>
          <w:numId w:val="6"/>
        </w:numPr>
        <w:rPr>
          <w:sz w:val="22"/>
          <w:szCs w:val="22"/>
        </w:rPr>
      </w:pPr>
      <w:r w:rsidRPr="007A09E0">
        <w:rPr>
          <w:sz w:val="22"/>
          <w:szCs w:val="22"/>
        </w:rPr>
        <w:t>37% said it benefitted their mental health</w:t>
      </w:r>
      <w:r w:rsidR="00662A5C">
        <w:rPr>
          <w:sz w:val="22"/>
          <w:szCs w:val="22"/>
        </w:rPr>
        <w:t xml:space="preserve"> </w:t>
      </w:r>
      <w:r w:rsidRPr="007A09E0">
        <w:rPr>
          <w:sz w:val="22"/>
          <w:szCs w:val="22"/>
        </w:rPr>
        <w:t>(38% of women, 33% of men)</w:t>
      </w:r>
      <w:r w:rsidR="00476B6C">
        <w:rPr>
          <w:sz w:val="22"/>
          <w:szCs w:val="22"/>
        </w:rPr>
        <w:t>.</w:t>
      </w:r>
    </w:p>
    <w:p w14:paraId="6A53CEBA" w14:textId="0CE003FB" w:rsidR="00CF3EB9" w:rsidRDefault="00662A5C" w:rsidP="00CF3EB9">
      <w:pPr>
        <w:pStyle w:val="Default"/>
        <w:numPr>
          <w:ilvl w:val="1"/>
          <w:numId w:val="6"/>
        </w:numPr>
        <w:rPr>
          <w:sz w:val="22"/>
          <w:szCs w:val="22"/>
        </w:rPr>
      </w:pPr>
      <w:r>
        <w:rPr>
          <w:sz w:val="22"/>
          <w:szCs w:val="22"/>
        </w:rPr>
        <w:t xml:space="preserve">However, </w:t>
      </w:r>
      <w:r w:rsidR="00250964" w:rsidRPr="007A09E0">
        <w:rPr>
          <w:sz w:val="22"/>
          <w:szCs w:val="22"/>
        </w:rPr>
        <w:t xml:space="preserve">notably, only 54% of respondents confirmed that they had their equipment needs met </w:t>
      </w:r>
      <w:r w:rsidR="004C53C6">
        <w:rPr>
          <w:sz w:val="22"/>
          <w:szCs w:val="22"/>
        </w:rPr>
        <w:t xml:space="preserve">for working from home </w:t>
      </w:r>
      <w:r w:rsidR="00250964" w:rsidRPr="007A09E0">
        <w:rPr>
          <w:sz w:val="22"/>
          <w:szCs w:val="22"/>
        </w:rPr>
        <w:t>(53% of women, 58% of men)</w:t>
      </w:r>
      <w:r w:rsidR="002B43AD">
        <w:rPr>
          <w:sz w:val="22"/>
          <w:szCs w:val="22"/>
        </w:rPr>
        <w:t>.</w:t>
      </w:r>
    </w:p>
    <w:p w14:paraId="05C393EA" w14:textId="7D5225E7" w:rsidR="00250964" w:rsidRPr="00FA7C0C" w:rsidRDefault="00250964" w:rsidP="00FA7C0C">
      <w:pPr>
        <w:pStyle w:val="Default"/>
        <w:numPr>
          <w:ilvl w:val="1"/>
          <w:numId w:val="6"/>
        </w:numPr>
        <w:spacing w:after="120"/>
        <w:ind w:left="1208" w:hanging="357"/>
        <w:rPr>
          <w:sz w:val="22"/>
          <w:szCs w:val="22"/>
        </w:rPr>
      </w:pPr>
      <w:r w:rsidRPr="00CF3EB9">
        <w:rPr>
          <w:sz w:val="22"/>
          <w:szCs w:val="22"/>
        </w:rPr>
        <w:t>46% said that practical adjustments and more support at work would help them manage their pain (47% of women, 45% of men)</w:t>
      </w:r>
      <w:r w:rsidR="00175642" w:rsidRPr="00CF3EB9">
        <w:rPr>
          <w:sz w:val="22"/>
          <w:szCs w:val="22"/>
        </w:rPr>
        <w:t>.</w:t>
      </w:r>
    </w:p>
    <w:p w14:paraId="000617D7" w14:textId="1744EB30" w:rsidR="004C53C6" w:rsidRPr="005017DE" w:rsidRDefault="00250964" w:rsidP="005017DE">
      <w:pPr>
        <w:pStyle w:val="ListParagraph"/>
        <w:numPr>
          <w:ilvl w:val="0"/>
          <w:numId w:val="15"/>
        </w:numPr>
        <w:spacing w:after="120"/>
        <w:ind w:left="357" w:hanging="357"/>
        <w:contextualSpacing w:val="0"/>
        <w:rPr>
          <w:sz w:val="22"/>
        </w:rPr>
      </w:pPr>
      <w:r w:rsidRPr="006717CF">
        <w:rPr>
          <w:sz w:val="22"/>
        </w:rPr>
        <w:t xml:space="preserve">Versus Arthritis </w:t>
      </w:r>
      <w:r w:rsidR="00A65E77" w:rsidRPr="00D2430B">
        <w:rPr>
          <w:sz w:val="22"/>
        </w:rPr>
        <w:t xml:space="preserve">also </w:t>
      </w:r>
      <w:r w:rsidRPr="00D2430B">
        <w:rPr>
          <w:sz w:val="22"/>
        </w:rPr>
        <w:t>carried out a</w:t>
      </w:r>
      <w:r w:rsidR="00BA4D8C">
        <w:rPr>
          <w:sz w:val="22"/>
        </w:rPr>
        <w:t xml:space="preserve">n </w:t>
      </w:r>
      <w:r w:rsidRPr="00D2430B">
        <w:rPr>
          <w:sz w:val="22"/>
        </w:rPr>
        <w:t xml:space="preserve">online survey on the experiences of people </w:t>
      </w:r>
      <w:r w:rsidR="005D1E9C" w:rsidRPr="00D2430B">
        <w:rPr>
          <w:sz w:val="22"/>
        </w:rPr>
        <w:t>with musculoskeletal conditions from</w:t>
      </w:r>
      <w:r w:rsidR="00525BCB" w:rsidRPr="00D2430B">
        <w:rPr>
          <w:sz w:val="22"/>
        </w:rPr>
        <w:t xml:space="preserve"> November </w:t>
      </w:r>
      <w:r w:rsidR="005D1E9C" w:rsidRPr="00D2430B">
        <w:rPr>
          <w:sz w:val="22"/>
        </w:rPr>
        <w:t>-</w:t>
      </w:r>
      <w:r w:rsidRPr="00D2430B">
        <w:rPr>
          <w:sz w:val="22"/>
        </w:rPr>
        <w:t xml:space="preserve"> December 2020.</w:t>
      </w:r>
      <w:bookmarkStart w:id="13" w:name="_Ref72491379"/>
      <w:r w:rsidRPr="00D2430B">
        <w:rPr>
          <w:rStyle w:val="EndnoteReference"/>
          <w:sz w:val="22"/>
        </w:rPr>
        <w:endnoteReference w:id="52"/>
      </w:r>
      <w:bookmarkEnd w:id="13"/>
      <w:r w:rsidR="00074EEE" w:rsidRPr="00D2430B">
        <w:rPr>
          <w:sz w:val="22"/>
        </w:rPr>
        <w:t xml:space="preserve"> </w:t>
      </w:r>
      <w:r w:rsidRPr="006717CF">
        <w:rPr>
          <w:sz w:val="22"/>
        </w:rPr>
        <w:t xml:space="preserve">The survey focused on those people waiting for joint replacement surgery </w:t>
      </w:r>
      <w:r w:rsidR="1446C8FF" w:rsidRPr="006717CF">
        <w:rPr>
          <w:sz w:val="22"/>
        </w:rPr>
        <w:t xml:space="preserve">the </w:t>
      </w:r>
      <w:r w:rsidRPr="006717CF">
        <w:rPr>
          <w:sz w:val="22"/>
        </w:rPr>
        <w:t xml:space="preserve">during COVID-19 </w:t>
      </w:r>
      <w:r w:rsidR="7D4D50CD" w:rsidRPr="006717CF">
        <w:rPr>
          <w:sz w:val="22"/>
        </w:rPr>
        <w:t xml:space="preserve">pandemic </w:t>
      </w:r>
      <w:r w:rsidRPr="006717CF">
        <w:rPr>
          <w:sz w:val="22"/>
        </w:rPr>
        <w:t xml:space="preserve">and the impact waiting has had on their health. </w:t>
      </w:r>
    </w:p>
    <w:p w14:paraId="666C77EB" w14:textId="693CB516" w:rsidR="00250964" w:rsidRPr="00D2430B" w:rsidRDefault="008646C3" w:rsidP="00D2430B">
      <w:pPr>
        <w:pStyle w:val="ListParagraph"/>
        <w:numPr>
          <w:ilvl w:val="0"/>
          <w:numId w:val="15"/>
        </w:numPr>
        <w:spacing w:after="0"/>
        <w:ind w:left="357" w:hanging="357"/>
        <w:contextualSpacing w:val="0"/>
        <w:rPr>
          <w:sz w:val="22"/>
        </w:rPr>
      </w:pPr>
      <w:r w:rsidRPr="00D2430B">
        <w:rPr>
          <w:sz w:val="22"/>
        </w:rPr>
        <w:t xml:space="preserve">Analysis of the data </w:t>
      </w:r>
      <w:r w:rsidR="005D07C5" w:rsidRPr="00D2430B">
        <w:rPr>
          <w:sz w:val="22"/>
        </w:rPr>
        <w:t>provided by</w:t>
      </w:r>
      <w:r w:rsidRPr="00D2430B">
        <w:rPr>
          <w:sz w:val="22"/>
        </w:rPr>
        <w:t xml:space="preserve"> respondents </w:t>
      </w:r>
      <w:r w:rsidR="002A61C0">
        <w:rPr>
          <w:sz w:val="22"/>
        </w:rPr>
        <w:t xml:space="preserve">in </w:t>
      </w:r>
      <w:r w:rsidR="006B0ACB">
        <w:rPr>
          <w:sz w:val="22"/>
        </w:rPr>
        <w:t>England</w:t>
      </w:r>
      <w:r w:rsidR="002A61C0">
        <w:rPr>
          <w:sz w:val="22"/>
        </w:rPr>
        <w:t xml:space="preserve"> </w:t>
      </w:r>
      <w:r w:rsidRPr="00D2430B">
        <w:rPr>
          <w:sz w:val="22"/>
        </w:rPr>
        <w:t xml:space="preserve">who indicated they were on the waiting list for joint replacement surgery </w:t>
      </w:r>
      <w:r w:rsidR="005D07C5" w:rsidRPr="00D2430B">
        <w:rPr>
          <w:sz w:val="22"/>
        </w:rPr>
        <w:t xml:space="preserve">found </w:t>
      </w:r>
      <w:r w:rsidR="00252BE2" w:rsidRPr="00070645">
        <w:rPr>
          <w:color w:val="000000"/>
          <w:sz w:val="22"/>
        </w:rPr>
        <w:t>that</w:t>
      </w:r>
      <w:r w:rsidR="003A3D05" w:rsidRPr="00070645">
        <w:rPr>
          <w:color w:val="000000"/>
          <w:sz w:val="22"/>
        </w:rPr>
        <w:t>:</w:t>
      </w:r>
      <w:r w:rsidR="00070645" w:rsidRPr="00070645">
        <w:rPr>
          <w:color w:val="000000"/>
          <w:sz w:val="22"/>
          <w:vertAlign w:val="superscript"/>
        </w:rPr>
        <w:t xml:space="preserve"> </w:t>
      </w:r>
      <w:r w:rsidR="00070645" w:rsidRPr="00070645">
        <w:rPr>
          <w:color w:val="000000"/>
          <w:sz w:val="22"/>
          <w:vertAlign w:val="superscript"/>
        </w:rPr>
        <w:fldChar w:fldCharType="begin"/>
      </w:r>
      <w:r w:rsidR="00070645" w:rsidRPr="00070645">
        <w:rPr>
          <w:color w:val="000000"/>
          <w:sz w:val="22"/>
          <w:vertAlign w:val="superscript"/>
        </w:rPr>
        <w:instrText xml:space="preserve"> NOTEREF _Ref72491379 \f \h </w:instrText>
      </w:r>
      <w:r w:rsidR="00070645">
        <w:rPr>
          <w:color w:val="000000"/>
          <w:sz w:val="22"/>
          <w:vertAlign w:val="superscript"/>
        </w:rPr>
        <w:instrText xml:space="preserve"> \* MERGEFORMAT </w:instrText>
      </w:r>
      <w:r w:rsidR="00070645" w:rsidRPr="00070645">
        <w:rPr>
          <w:color w:val="000000"/>
          <w:sz w:val="22"/>
          <w:vertAlign w:val="superscript"/>
        </w:rPr>
      </w:r>
      <w:r w:rsidR="00070645" w:rsidRPr="00070645">
        <w:rPr>
          <w:color w:val="000000"/>
          <w:sz w:val="22"/>
          <w:vertAlign w:val="superscript"/>
        </w:rPr>
        <w:fldChar w:fldCharType="separate"/>
      </w:r>
      <w:r w:rsidR="005D0525" w:rsidRPr="005D0525">
        <w:rPr>
          <w:rStyle w:val="EndnoteReference"/>
          <w:sz w:val="22"/>
        </w:rPr>
        <w:t>51</w:t>
      </w:r>
      <w:r w:rsidR="00070645" w:rsidRPr="00070645">
        <w:rPr>
          <w:color w:val="000000"/>
          <w:sz w:val="22"/>
          <w:vertAlign w:val="superscript"/>
        </w:rPr>
        <w:fldChar w:fldCharType="end"/>
      </w:r>
      <w:r w:rsidR="00070645" w:rsidRPr="00D2430B">
        <w:rPr>
          <w:sz w:val="22"/>
        </w:rPr>
        <w:t xml:space="preserve"> </w:t>
      </w:r>
    </w:p>
    <w:p w14:paraId="6A415AF8" w14:textId="49B19C8F" w:rsidR="00250964" w:rsidRPr="007A09E0" w:rsidRDefault="00250964" w:rsidP="00D2430B">
      <w:pPr>
        <w:pStyle w:val="Default"/>
        <w:numPr>
          <w:ilvl w:val="0"/>
          <w:numId w:val="6"/>
        </w:numPr>
        <w:ind w:left="782" w:hanging="357"/>
        <w:rPr>
          <w:sz w:val="22"/>
          <w:szCs w:val="22"/>
        </w:rPr>
      </w:pPr>
      <w:r w:rsidRPr="007A09E0">
        <w:rPr>
          <w:sz w:val="22"/>
          <w:szCs w:val="22"/>
        </w:rPr>
        <w:t>34% of respondents had been waiting for between 6 months and a year for joint replacement surgery (36% of women; 28% of men)</w:t>
      </w:r>
      <w:r w:rsidR="00A82710">
        <w:rPr>
          <w:sz w:val="22"/>
          <w:szCs w:val="22"/>
        </w:rPr>
        <w:t>.</w:t>
      </w:r>
    </w:p>
    <w:p w14:paraId="684BCBCF" w14:textId="3D8D0A12" w:rsidR="00250964" w:rsidRPr="007A09E0" w:rsidRDefault="00250964" w:rsidP="00D11909">
      <w:pPr>
        <w:pStyle w:val="Default"/>
        <w:numPr>
          <w:ilvl w:val="0"/>
          <w:numId w:val="6"/>
        </w:numPr>
        <w:rPr>
          <w:sz w:val="22"/>
          <w:szCs w:val="22"/>
        </w:rPr>
      </w:pPr>
      <w:r w:rsidRPr="007A09E0">
        <w:rPr>
          <w:sz w:val="22"/>
          <w:szCs w:val="22"/>
        </w:rPr>
        <w:t xml:space="preserve">29% had been waiting for between 1 to 2 years (29% of women; 28% of men), and </w:t>
      </w:r>
    </w:p>
    <w:p w14:paraId="3ED6BDBC" w14:textId="041041DD" w:rsidR="00250964" w:rsidRPr="007A09E0" w:rsidRDefault="00250964" w:rsidP="00D11909">
      <w:pPr>
        <w:pStyle w:val="Default"/>
        <w:numPr>
          <w:ilvl w:val="0"/>
          <w:numId w:val="6"/>
        </w:numPr>
        <w:rPr>
          <w:sz w:val="22"/>
          <w:szCs w:val="22"/>
        </w:rPr>
      </w:pPr>
      <w:r w:rsidRPr="007A09E0">
        <w:rPr>
          <w:sz w:val="22"/>
          <w:szCs w:val="22"/>
        </w:rPr>
        <w:t xml:space="preserve">11% had been waiting for over 2 years for surgery </w:t>
      </w:r>
      <w:r w:rsidR="003A3D05" w:rsidRPr="007A09E0">
        <w:rPr>
          <w:sz w:val="22"/>
          <w:szCs w:val="22"/>
        </w:rPr>
        <w:t xml:space="preserve">(same </w:t>
      </w:r>
      <w:r w:rsidR="003A3D05">
        <w:rPr>
          <w:sz w:val="22"/>
          <w:szCs w:val="22"/>
        </w:rPr>
        <w:t xml:space="preserve">percentage </w:t>
      </w:r>
      <w:r w:rsidR="003A3D05" w:rsidRPr="007A09E0">
        <w:rPr>
          <w:sz w:val="22"/>
          <w:szCs w:val="22"/>
        </w:rPr>
        <w:t>for men and women)</w:t>
      </w:r>
      <w:r w:rsidR="003A3D05">
        <w:rPr>
          <w:sz w:val="22"/>
          <w:szCs w:val="22"/>
        </w:rPr>
        <w:t>.</w:t>
      </w:r>
    </w:p>
    <w:p w14:paraId="4F39A099" w14:textId="5320DAF0" w:rsidR="00250964" w:rsidRPr="007A09E0" w:rsidRDefault="00250964" w:rsidP="00D11909">
      <w:pPr>
        <w:pStyle w:val="Default"/>
        <w:numPr>
          <w:ilvl w:val="0"/>
          <w:numId w:val="6"/>
        </w:numPr>
        <w:rPr>
          <w:sz w:val="22"/>
          <w:szCs w:val="22"/>
        </w:rPr>
      </w:pPr>
      <w:r w:rsidRPr="007A09E0">
        <w:rPr>
          <w:sz w:val="22"/>
          <w:szCs w:val="22"/>
        </w:rPr>
        <w:t>56% had not been offered any options for proceeding with their surgery during the pandemic (58% of women, 51% of men)</w:t>
      </w:r>
      <w:r w:rsidR="00EA215F">
        <w:rPr>
          <w:sz w:val="22"/>
          <w:szCs w:val="22"/>
        </w:rPr>
        <w:t>.</w:t>
      </w:r>
    </w:p>
    <w:p w14:paraId="70D2FC79" w14:textId="2E7C0FEA" w:rsidR="00250964" w:rsidRPr="007A09E0" w:rsidRDefault="00250964" w:rsidP="00D11909">
      <w:pPr>
        <w:pStyle w:val="Default"/>
        <w:numPr>
          <w:ilvl w:val="0"/>
          <w:numId w:val="6"/>
        </w:numPr>
        <w:rPr>
          <w:sz w:val="22"/>
          <w:szCs w:val="22"/>
        </w:rPr>
      </w:pPr>
      <w:r w:rsidRPr="007A09E0">
        <w:rPr>
          <w:sz w:val="22"/>
          <w:szCs w:val="22"/>
        </w:rPr>
        <w:t>84% had not been offered an alternative choice of provider for their surgery despite their extended wait</w:t>
      </w:r>
      <w:r w:rsidR="008B11BE">
        <w:rPr>
          <w:sz w:val="22"/>
          <w:szCs w:val="22"/>
        </w:rPr>
        <w:t>ing</w:t>
      </w:r>
      <w:r w:rsidRPr="007A09E0">
        <w:rPr>
          <w:sz w:val="22"/>
          <w:szCs w:val="22"/>
        </w:rPr>
        <w:t xml:space="preserve"> time (same % for men and women)</w:t>
      </w:r>
      <w:r w:rsidR="008B11BE">
        <w:rPr>
          <w:sz w:val="22"/>
          <w:szCs w:val="22"/>
        </w:rPr>
        <w:t>.</w:t>
      </w:r>
    </w:p>
    <w:p w14:paraId="71253805" w14:textId="75B99676" w:rsidR="00250964" w:rsidRPr="00FA7C0C" w:rsidRDefault="00250964" w:rsidP="00313AEA">
      <w:pPr>
        <w:pStyle w:val="Default"/>
        <w:numPr>
          <w:ilvl w:val="0"/>
          <w:numId w:val="6"/>
        </w:numPr>
        <w:ind w:left="782" w:hanging="357"/>
        <w:rPr>
          <w:sz w:val="22"/>
          <w:szCs w:val="22"/>
        </w:rPr>
      </w:pPr>
      <w:r w:rsidRPr="007A09E0">
        <w:rPr>
          <w:sz w:val="22"/>
          <w:szCs w:val="22"/>
        </w:rPr>
        <w:t>55% of respondents had either had their surgery or a related appointment cancelled or postponed by their hospital due to COVID-19 (57% of women, 51% of men)</w:t>
      </w:r>
      <w:r w:rsidR="009C1B60">
        <w:rPr>
          <w:sz w:val="22"/>
          <w:szCs w:val="22"/>
        </w:rPr>
        <w:t>.</w:t>
      </w:r>
    </w:p>
    <w:p w14:paraId="3BE3098F" w14:textId="77777777" w:rsidR="00250964" w:rsidRPr="007A09E0" w:rsidRDefault="00250964" w:rsidP="00FA7C0C">
      <w:pPr>
        <w:pStyle w:val="Default"/>
        <w:numPr>
          <w:ilvl w:val="0"/>
          <w:numId w:val="10"/>
        </w:numPr>
        <w:rPr>
          <w:sz w:val="22"/>
          <w:szCs w:val="22"/>
        </w:rPr>
      </w:pPr>
      <w:r w:rsidRPr="007A09E0">
        <w:rPr>
          <w:sz w:val="22"/>
          <w:szCs w:val="22"/>
        </w:rPr>
        <w:t>For those who had chosen to cancel or postpone treatment themselves:</w:t>
      </w:r>
    </w:p>
    <w:p w14:paraId="0FF2829A" w14:textId="71046D0F" w:rsidR="00250964" w:rsidRPr="007A09E0" w:rsidRDefault="00250964" w:rsidP="00FA7C0C">
      <w:pPr>
        <w:pStyle w:val="Default"/>
        <w:numPr>
          <w:ilvl w:val="1"/>
          <w:numId w:val="6"/>
        </w:numPr>
        <w:rPr>
          <w:sz w:val="22"/>
          <w:szCs w:val="22"/>
        </w:rPr>
      </w:pPr>
      <w:r w:rsidRPr="007A09E0">
        <w:rPr>
          <w:sz w:val="22"/>
          <w:szCs w:val="22"/>
        </w:rPr>
        <w:t>49% cited a fear about getting COVID-19 in hospital as the reason behind that decision (48% of women; 60% of men)</w:t>
      </w:r>
      <w:r w:rsidR="00613A7E">
        <w:rPr>
          <w:sz w:val="22"/>
          <w:szCs w:val="22"/>
        </w:rPr>
        <w:t>.</w:t>
      </w:r>
    </w:p>
    <w:p w14:paraId="658904A4" w14:textId="51D8CD09" w:rsidR="00250964" w:rsidRPr="007A09E0" w:rsidRDefault="00250964" w:rsidP="00FA7C0C">
      <w:pPr>
        <w:pStyle w:val="Default"/>
        <w:numPr>
          <w:ilvl w:val="1"/>
          <w:numId w:val="6"/>
        </w:numPr>
        <w:rPr>
          <w:sz w:val="22"/>
          <w:szCs w:val="22"/>
        </w:rPr>
      </w:pPr>
      <w:r w:rsidRPr="007A09E0">
        <w:rPr>
          <w:sz w:val="22"/>
          <w:szCs w:val="22"/>
        </w:rPr>
        <w:t>46% said it was because they were shielding (45% of women, 60% of men)</w:t>
      </w:r>
      <w:r w:rsidR="00895A74">
        <w:rPr>
          <w:sz w:val="22"/>
          <w:szCs w:val="22"/>
        </w:rPr>
        <w:t>.</w:t>
      </w:r>
    </w:p>
    <w:p w14:paraId="5483F858" w14:textId="053EC464" w:rsidR="00250964" w:rsidRPr="007A09E0" w:rsidRDefault="00250964" w:rsidP="00FA7C0C">
      <w:pPr>
        <w:pStyle w:val="Default"/>
        <w:numPr>
          <w:ilvl w:val="1"/>
          <w:numId w:val="6"/>
        </w:numPr>
        <w:rPr>
          <w:sz w:val="22"/>
          <w:szCs w:val="22"/>
        </w:rPr>
      </w:pPr>
      <w:r w:rsidRPr="007A09E0">
        <w:rPr>
          <w:sz w:val="22"/>
          <w:szCs w:val="22"/>
        </w:rPr>
        <w:t>72% of respondents had not been given a likely surgery date or an estimated waiting time for receiving treatment (74% of women, 68% of men)</w:t>
      </w:r>
      <w:r w:rsidR="00895A74">
        <w:rPr>
          <w:sz w:val="22"/>
          <w:szCs w:val="22"/>
        </w:rPr>
        <w:t>.</w:t>
      </w:r>
    </w:p>
    <w:p w14:paraId="24CC1B6E" w14:textId="1B199375" w:rsidR="00250964" w:rsidRPr="00FA7C0C" w:rsidRDefault="00250964" w:rsidP="00705EA4">
      <w:pPr>
        <w:pStyle w:val="Default"/>
        <w:numPr>
          <w:ilvl w:val="1"/>
          <w:numId w:val="6"/>
        </w:numPr>
        <w:spacing w:after="120"/>
        <w:ind w:left="1208" w:hanging="357"/>
        <w:rPr>
          <w:sz w:val="22"/>
          <w:szCs w:val="22"/>
        </w:rPr>
      </w:pPr>
      <w:r w:rsidRPr="007A09E0">
        <w:rPr>
          <w:sz w:val="22"/>
          <w:szCs w:val="22"/>
        </w:rPr>
        <w:t xml:space="preserve">Only 14% had been offered access to a physiotherapist while waiting for surgery (same </w:t>
      </w:r>
      <w:r w:rsidR="003A3D05">
        <w:rPr>
          <w:sz w:val="22"/>
          <w:szCs w:val="22"/>
        </w:rPr>
        <w:t>percentage</w:t>
      </w:r>
      <w:r w:rsidR="002019AA">
        <w:rPr>
          <w:sz w:val="22"/>
          <w:szCs w:val="22"/>
        </w:rPr>
        <w:t xml:space="preserve"> </w:t>
      </w:r>
      <w:r w:rsidRPr="007A09E0">
        <w:rPr>
          <w:sz w:val="22"/>
          <w:szCs w:val="22"/>
        </w:rPr>
        <w:t>for men and women)</w:t>
      </w:r>
      <w:r w:rsidR="00E11D56">
        <w:rPr>
          <w:sz w:val="22"/>
          <w:szCs w:val="22"/>
        </w:rPr>
        <w:t>.</w:t>
      </w:r>
    </w:p>
    <w:p w14:paraId="454518BD" w14:textId="0A67B970" w:rsidR="00250964" w:rsidRPr="007A09E0" w:rsidRDefault="00250964" w:rsidP="00FA7C0C">
      <w:pPr>
        <w:pStyle w:val="Default"/>
        <w:numPr>
          <w:ilvl w:val="0"/>
          <w:numId w:val="6"/>
        </w:numPr>
        <w:rPr>
          <w:sz w:val="22"/>
          <w:szCs w:val="22"/>
        </w:rPr>
      </w:pPr>
      <w:r w:rsidRPr="007A09E0">
        <w:rPr>
          <w:sz w:val="22"/>
          <w:szCs w:val="22"/>
        </w:rPr>
        <w:t>During their wait for surgery:</w:t>
      </w:r>
      <w:r w:rsidR="00070645" w:rsidRPr="00070645">
        <w:rPr>
          <w:sz w:val="22"/>
          <w:szCs w:val="22"/>
          <w:vertAlign w:val="superscript"/>
        </w:rPr>
        <w:t xml:space="preserve"> </w:t>
      </w:r>
    </w:p>
    <w:p w14:paraId="06D2D2F8" w14:textId="77777777" w:rsidR="00250964" w:rsidRPr="007A09E0" w:rsidRDefault="00250964" w:rsidP="00FA7C0C">
      <w:pPr>
        <w:pStyle w:val="Default"/>
        <w:numPr>
          <w:ilvl w:val="1"/>
          <w:numId w:val="6"/>
        </w:numPr>
        <w:rPr>
          <w:sz w:val="22"/>
          <w:szCs w:val="22"/>
        </w:rPr>
      </w:pPr>
      <w:r w:rsidRPr="007A09E0">
        <w:rPr>
          <w:sz w:val="22"/>
          <w:szCs w:val="22"/>
        </w:rPr>
        <w:t>79% reported their general physical health had worsened (79% of women; 81% of men).</w:t>
      </w:r>
    </w:p>
    <w:p w14:paraId="60F4326F" w14:textId="7CFF63FC" w:rsidR="00250964" w:rsidRPr="007A09E0" w:rsidRDefault="00250964" w:rsidP="00FA7C0C">
      <w:pPr>
        <w:pStyle w:val="Default"/>
        <w:numPr>
          <w:ilvl w:val="1"/>
          <w:numId w:val="6"/>
        </w:numPr>
        <w:rPr>
          <w:sz w:val="22"/>
          <w:szCs w:val="22"/>
        </w:rPr>
      </w:pPr>
      <w:r w:rsidRPr="007A09E0">
        <w:rPr>
          <w:sz w:val="22"/>
          <w:szCs w:val="22"/>
        </w:rPr>
        <w:t xml:space="preserve">89% said their pain levels had </w:t>
      </w:r>
      <w:r w:rsidR="000408A5">
        <w:rPr>
          <w:sz w:val="22"/>
          <w:szCs w:val="22"/>
        </w:rPr>
        <w:t xml:space="preserve">deteriorated </w:t>
      </w:r>
      <w:r w:rsidRPr="007A09E0">
        <w:rPr>
          <w:sz w:val="22"/>
          <w:szCs w:val="22"/>
        </w:rPr>
        <w:t>(91% of women; 85% of men).</w:t>
      </w:r>
    </w:p>
    <w:p w14:paraId="133FAAF6" w14:textId="77777777" w:rsidR="00250964" w:rsidRPr="007A09E0" w:rsidRDefault="00250964" w:rsidP="00FA7C0C">
      <w:pPr>
        <w:pStyle w:val="Default"/>
        <w:numPr>
          <w:ilvl w:val="1"/>
          <w:numId w:val="6"/>
        </w:numPr>
        <w:rPr>
          <w:sz w:val="22"/>
          <w:szCs w:val="22"/>
        </w:rPr>
      </w:pPr>
      <w:r w:rsidRPr="007A09E0">
        <w:rPr>
          <w:sz w:val="22"/>
          <w:szCs w:val="22"/>
        </w:rPr>
        <w:t xml:space="preserve">90% reported reduced mobility (91% of women; 87% of men). </w:t>
      </w:r>
    </w:p>
    <w:p w14:paraId="0C8E62A8" w14:textId="77777777" w:rsidR="00250964" w:rsidRPr="007A09E0" w:rsidRDefault="00250964" w:rsidP="00FA7C0C">
      <w:pPr>
        <w:pStyle w:val="Default"/>
        <w:numPr>
          <w:ilvl w:val="1"/>
          <w:numId w:val="6"/>
        </w:numPr>
        <w:rPr>
          <w:sz w:val="22"/>
          <w:szCs w:val="22"/>
        </w:rPr>
      </w:pPr>
      <w:r w:rsidRPr="007A09E0">
        <w:rPr>
          <w:sz w:val="22"/>
          <w:szCs w:val="22"/>
        </w:rPr>
        <w:t>79% said they were less independent (81% of women; 74.1% of men).</w:t>
      </w:r>
    </w:p>
    <w:p w14:paraId="2FEE5766" w14:textId="41C7FFC0" w:rsidR="00250964" w:rsidRPr="005648AF" w:rsidRDefault="00250964" w:rsidP="005648AF">
      <w:pPr>
        <w:pStyle w:val="Default"/>
        <w:numPr>
          <w:ilvl w:val="1"/>
          <w:numId w:val="6"/>
        </w:numPr>
        <w:spacing w:after="120"/>
        <w:ind w:left="1208" w:hanging="357"/>
        <w:rPr>
          <w:sz w:val="22"/>
          <w:szCs w:val="22"/>
        </w:rPr>
      </w:pPr>
      <w:r w:rsidRPr="007A09E0">
        <w:rPr>
          <w:sz w:val="22"/>
          <w:szCs w:val="22"/>
        </w:rPr>
        <w:t>72% reported a deterioration in their mental health (74% of women; 64% of men).</w:t>
      </w:r>
    </w:p>
    <w:p w14:paraId="5FD57CD2" w14:textId="008B60C8" w:rsidR="00DE0615" w:rsidRDefault="00250964" w:rsidP="008C6DF1">
      <w:pPr>
        <w:pStyle w:val="Default"/>
        <w:numPr>
          <w:ilvl w:val="0"/>
          <w:numId w:val="15"/>
        </w:numPr>
        <w:spacing w:after="120"/>
        <w:ind w:left="357" w:hanging="357"/>
        <w:rPr>
          <w:b/>
          <w:bCs/>
          <w:sz w:val="22"/>
          <w:szCs w:val="22"/>
        </w:rPr>
      </w:pPr>
      <w:r w:rsidRPr="007A09E0">
        <w:rPr>
          <w:sz w:val="22"/>
          <w:szCs w:val="22"/>
        </w:rPr>
        <w:lastRenderedPageBreak/>
        <w:t>To understand the impact of COVID-19</w:t>
      </w:r>
      <w:r w:rsidR="008E41FD">
        <w:rPr>
          <w:sz w:val="22"/>
          <w:szCs w:val="22"/>
        </w:rPr>
        <w:t xml:space="preserve"> and the subsequent restrictions</w:t>
      </w:r>
      <w:r w:rsidRPr="007A09E0">
        <w:rPr>
          <w:sz w:val="22"/>
          <w:szCs w:val="22"/>
        </w:rPr>
        <w:t xml:space="preserve"> on</w:t>
      </w:r>
      <w:r w:rsidR="005648AF">
        <w:rPr>
          <w:sz w:val="22"/>
          <w:szCs w:val="22"/>
        </w:rPr>
        <w:t xml:space="preserve"> </w:t>
      </w:r>
      <w:r w:rsidR="0035633A">
        <w:rPr>
          <w:sz w:val="22"/>
          <w:szCs w:val="22"/>
        </w:rPr>
        <w:t xml:space="preserve">the </w:t>
      </w:r>
      <w:r w:rsidR="005648AF">
        <w:rPr>
          <w:sz w:val="22"/>
          <w:szCs w:val="22"/>
        </w:rPr>
        <w:t>general</w:t>
      </w:r>
      <w:r w:rsidRPr="007A09E0">
        <w:rPr>
          <w:sz w:val="22"/>
          <w:szCs w:val="22"/>
        </w:rPr>
        <w:t xml:space="preserve"> </w:t>
      </w:r>
      <w:r w:rsidR="0035633A">
        <w:rPr>
          <w:sz w:val="22"/>
          <w:szCs w:val="22"/>
        </w:rPr>
        <w:t>population’s</w:t>
      </w:r>
      <w:r w:rsidRPr="007A09E0">
        <w:rPr>
          <w:sz w:val="22"/>
          <w:szCs w:val="22"/>
        </w:rPr>
        <w:t xml:space="preserve"> musculoskeletal health, </w:t>
      </w:r>
      <w:r w:rsidR="00BC6E2D" w:rsidRPr="007A09E0">
        <w:rPr>
          <w:sz w:val="22"/>
          <w:szCs w:val="22"/>
        </w:rPr>
        <w:t>in</w:t>
      </w:r>
      <w:r w:rsidR="00BC6E2D">
        <w:rPr>
          <w:sz w:val="22"/>
          <w:szCs w:val="22"/>
        </w:rPr>
        <w:t xml:space="preserve"> </w:t>
      </w:r>
      <w:r w:rsidR="00BC6E2D" w:rsidRPr="007A09E0">
        <w:rPr>
          <w:sz w:val="22"/>
          <w:szCs w:val="22"/>
        </w:rPr>
        <w:t xml:space="preserve">September </w:t>
      </w:r>
      <w:r w:rsidR="00BC6E2D">
        <w:rPr>
          <w:sz w:val="22"/>
          <w:szCs w:val="22"/>
        </w:rPr>
        <w:t xml:space="preserve">2020 </w:t>
      </w:r>
      <w:r w:rsidRPr="007A09E0">
        <w:rPr>
          <w:sz w:val="22"/>
          <w:szCs w:val="22"/>
        </w:rPr>
        <w:t xml:space="preserve">Versus Arthritis conducted a survey </w:t>
      </w:r>
      <w:r w:rsidR="00BC6E2D">
        <w:rPr>
          <w:sz w:val="22"/>
          <w:szCs w:val="22"/>
        </w:rPr>
        <w:t xml:space="preserve">of </w:t>
      </w:r>
      <w:r w:rsidRPr="007A09E0">
        <w:rPr>
          <w:sz w:val="22"/>
          <w:szCs w:val="22"/>
        </w:rPr>
        <w:t>over 1,000 individuals who had started to work from home as a result of the pandemic, including people who had no prior history of musculoskeletal problems</w:t>
      </w:r>
      <w:bookmarkStart w:id="14" w:name="_Ref73962833"/>
      <w:r w:rsidR="008C6DF1">
        <w:rPr>
          <w:sz w:val="22"/>
          <w:szCs w:val="22"/>
        </w:rPr>
        <w:t>:</w:t>
      </w:r>
      <w:bookmarkStart w:id="15" w:name="_Ref74322610"/>
      <w:r w:rsidRPr="007A09E0">
        <w:rPr>
          <w:rStyle w:val="EndnoteReference"/>
          <w:sz w:val="22"/>
          <w:szCs w:val="22"/>
        </w:rPr>
        <w:endnoteReference w:id="53"/>
      </w:r>
      <w:bookmarkEnd w:id="14"/>
      <w:bookmarkEnd w:id="15"/>
      <w:r w:rsidRPr="007A09E0">
        <w:rPr>
          <w:sz w:val="22"/>
          <w:szCs w:val="22"/>
        </w:rPr>
        <w:t xml:space="preserve"> </w:t>
      </w:r>
    </w:p>
    <w:p w14:paraId="2F1927E7" w14:textId="53A8017B" w:rsidR="00250964" w:rsidRPr="00DE0615" w:rsidRDefault="00250964" w:rsidP="00DE0615">
      <w:pPr>
        <w:pStyle w:val="ListParagraph"/>
        <w:numPr>
          <w:ilvl w:val="0"/>
          <w:numId w:val="10"/>
        </w:numPr>
        <w:spacing w:after="0"/>
        <w:rPr>
          <w:color w:val="000000"/>
          <w:sz w:val="22"/>
        </w:rPr>
      </w:pPr>
      <w:r w:rsidRPr="00DE0615">
        <w:rPr>
          <w:color w:val="000000"/>
          <w:sz w:val="22"/>
        </w:rPr>
        <w:t>This research found amongst female workers</w:t>
      </w:r>
      <w:r w:rsidR="00E11D56">
        <w:rPr>
          <w:color w:val="000000"/>
          <w:sz w:val="22"/>
        </w:rPr>
        <w:t>:</w:t>
      </w:r>
      <w:r w:rsidR="00D11909" w:rsidRPr="00D11909">
        <w:rPr>
          <w:color w:val="000000"/>
          <w:sz w:val="22"/>
        </w:rPr>
        <w:t xml:space="preserve"> </w:t>
      </w:r>
      <w:r w:rsidR="00070645">
        <w:rPr>
          <w:color w:val="000000"/>
          <w:sz w:val="22"/>
        </w:rPr>
        <w:fldChar w:fldCharType="begin"/>
      </w:r>
      <w:r w:rsidR="00070645">
        <w:rPr>
          <w:color w:val="000000"/>
          <w:sz w:val="22"/>
        </w:rPr>
        <w:instrText xml:space="preserve"> NOTEREF _Ref74322610 \f \h </w:instrText>
      </w:r>
      <w:r w:rsidR="00070645">
        <w:rPr>
          <w:color w:val="000000"/>
          <w:sz w:val="22"/>
        </w:rPr>
      </w:r>
      <w:r w:rsidR="00070645">
        <w:rPr>
          <w:color w:val="000000"/>
          <w:sz w:val="22"/>
        </w:rPr>
        <w:fldChar w:fldCharType="separate"/>
      </w:r>
      <w:r w:rsidR="005D0525" w:rsidRPr="005D0525">
        <w:rPr>
          <w:rStyle w:val="EndnoteReference"/>
        </w:rPr>
        <w:t>52</w:t>
      </w:r>
      <w:r w:rsidR="00070645">
        <w:rPr>
          <w:color w:val="000000"/>
          <w:sz w:val="22"/>
        </w:rPr>
        <w:fldChar w:fldCharType="end"/>
      </w:r>
    </w:p>
    <w:p w14:paraId="731C859B" w14:textId="58E63E22" w:rsidR="00250964" w:rsidRPr="007A09E0" w:rsidRDefault="00250964" w:rsidP="00DE0615">
      <w:pPr>
        <w:pStyle w:val="Default"/>
        <w:numPr>
          <w:ilvl w:val="1"/>
          <w:numId w:val="6"/>
        </w:numPr>
        <w:rPr>
          <w:sz w:val="22"/>
          <w:szCs w:val="22"/>
        </w:rPr>
      </w:pPr>
      <w:r w:rsidRPr="007A09E0">
        <w:rPr>
          <w:sz w:val="22"/>
          <w:szCs w:val="22"/>
        </w:rPr>
        <w:t>82% reported experiencing musculoskeletal pain or discomfort caused by</w:t>
      </w:r>
      <w:r w:rsidR="007042D7">
        <w:rPr>
          <w:sz w:val="22"/>
          <w:szCs w:val="22"/>
        </w:rPr>
        <w:t>,</w:t>
      </w:r>
      <w:r w:rsidRPr="007A09E0">
        <w:rPr>
          <w:sz w:val="22"/>
          <w:szCs w:val="22"/>
        </w:rPr>
        <w:t xml:space="preserve"> or related to</w:t>
      </w:r>
      <w:r w:rsidR="007042D7">
        <w:rPr>
          <w:sz w:val="22"/>
          <w:szCs w:val="22"/>
        </w:rPr>
        <w:t>,</w:t>
      </w:r>
      <w:r w:rsidRPr="007A09E0">
        <w:rPr>
          <w:sz w:val="22"/>
          <w:szCs w:val="22"/>
        </w:rPr>
        <w:t xml:space="preserve"> their working set up since starting to work from home</w:t>
      </w:r>
      <w:r w:rsidR="00710F8B">
        <w:rPr>
          <w:sz w:val="22"/>
          <w:szCs w:val="22"/>
        </w:rPr>
        <w:t xml:space="preserve"> </w:t>
      </w:r>
      <w:r w:rsidR="00710F8B" w:rsidRPr="007A09E0">
        <w:rPr>
          <w:sz w:val="22"/>
          <w:szCs w:val="22"/>
        </w:rPr>
        <w:t xml:space="preserve">(in comparison to </w:t>
      </w:r>
      <w:r w:rsidR="00710F8B">
        <w:rPr>
          <w:sz w:val="22"/>
          <w:szCs w:val="22"/>
        </w:rPr>
        <w:t>79</w:t>
      </w:r>
      <w:r w:rsidR="00710F8B" w:rsidRPr="007A09E0">
        <w:rPr>
          <w:sz w:val="22"/>
          <w:szCs w:val="22"/>
        </w:rPr>
        <w:t>% of men)</w:t>
      </w:r>
      <w:r w:rsidR="00A32ACF">
        <w:rPr>
          <w:sz w:val="22"/>
          <w:szCs w:val="22"/>
        </w:rPr>
        <w:t>.</w:t>
      </w:r>
      <w:r w:rsidRPr="007A09E0">
        <w:rPr>
          <w:sz w:val="22"/>
          <w:szCs w:val="22"/>
        </w:rPr>
        <w:t xml:space="preserve">  </w:t>
      </w:r>
    </w:p>
    <w:p w14:paraId="283E9075" w14:textId="24521F5C" w:rsidR="00250964" w:rsidRPr="007A09E0" w:rsidRDefault="00250964" w:rsidP="00DE0615">
      <w:pPr>
        <w:pStyle w:val="Default"/>
        <w:numPr>
          <w:ilvl w:val="1"/>
          <w:numId w:val="6"/>
        </w:numPr>
        <w:rPr>
          <w:sz w:val="22"/>
          <w:szCs w:val="22"/>
        </w:rPr>
      </w:pPr>
      <w:r w:rsidRPr="007A09E0">
        <w:rPr>
          <w:sz w:val="22"/>
          <w:szCs w:val="22"/>
        </w:rPr>
        <w:t xml:space="preserve">18% said that this new pain meant that they were less productive </w:t>
      </w:r>
      <w:r w:rsidR="002D2133" w:rsidRPr="007A09E0">
        <w:rPr>
          <w:sz w:val="22"/>
          <w:szCs w:val="22"/>
        </w:rPr>
        <w:t xml:space="preserve">(in comparison to </w:t>
      </w:r>
      <w:r w:rsidR="002D2133">
        <w:rPr>
          <w:sz w:val="22"/>
          <w:szCs w:val="22"/>
        </w:rPr>
        <w:t>27</w:t>
      </w:r>
      <w:r w:rsidR="002D2133" w:rsidRPr="007A09E0">
        <w:rPr>
          <w:sz w:val="22"/>
          <w:szCs w:val="22"/>
        </w:rPr>
        <w:t>% of men</w:t>
      </w:r>
      <w:r w:rsidR="002D2133">
        <w:rPr>
          <w:sz w:val="22"/>
          <w:szCs w:val="22"/>
        </w:rPr>
        <w:t xml:space="preserve">), </w:t>
      </w:r>
      <w:r w:rsidRPr="007A09E0">
        <w:rPr>
          <w:sz w:val="22"/>
          <w:szCs w:val="22"/>
        </w:rPr>
        <w:t>and 28% said the pain made it difficult to concentrate</w:t>
      </w:r>
      <w:r w:rsidR="003B7545">
        <w:rPr>
          <w:sz w:val="22"/>
          <w:szCs w:val="22"/>
        </w:rPr>
        <w:t xml:space="preserve"> </w:t>
      </w:r>
      <w:r w:rsidR="003B7545" w:rsidRPr="007A09E0">
        <w:rPr>
          <w:sz w:val="22"/>
          <w:szCs w:val="22"/>
        </w:rPr>
        <w:t xml:space="preserve">(in comparison to </w:t>
      </w:r>
      <w:r w:rsidR="0077206C">
        <w:rPr>
          <w:sz w:val="22"/>
          <w:szCs w:val="22"/>
        </w:rPr>
        <w:t>32</w:t>
      </w:r>
      <w:r w:rsidR="003B7545" w:rsidRPr="007A09E0">
        <w:rPr>
          <w:sz w:val="22"/>
          <w:szCs w:val="22"/>
        </w:rPr>
        <w:t>% of men)</w:t>
      </w:r>
      <w:r w:rsidRPr="007A09E0">
        <w:rPr>
          <w:sz w:val="22"/>
          <w:szCs w:val="22"/>
        </w:rPr>
        <w:t xml:space="preserve">. </w:t>
      </w:r>
    </w:p>
    <w:p w14:paraId="30B4851B" w14:textId="77777777" w:rsidR="00532F64" w:rsidRDefault="00250964" w:rsidP="00DE0615">
      <w:pPr>
        <w:pStyle w:val="Default"/>
        <w:numPr>
          <w:ilvl w:val="1"/>
          <w:numId w:val="6"/>
        </w:numPr>
        <w:rPr>
          <w:sz w:val="22"/>
          <w:szCs w:val="22"/>
        </w:rPr>
      </w:pPr>
      <w:r w:rsidRPr="007A09E0">
        <w:rPr>
          <w:sz w:val="22"/>
          <w:szCs w:val="22"/>
        </w:rPr>
        <w:t>Only 8% said they’d spoken to their employer about their new musculoskeletal pain</w:t>
      </w:r>
      <w:r w:rsidR="00532F64">
        <w:rPr>
          <w:sz w:val="22"/>
          <w:szCs w:val="22"/>
        </w:rPr>
        <w:t xml:space="preserve"> </w:t>
      </w:r>
      <w:r w:rsidR="00855E25" w:rsidRPr="007A09E0">
        <w:rPr>
          <w:sz w:val="22"/>
          <w:szCs w:val="22"/>
        </w:rPr>
        <w:t xml:space="preserve">(in comparison to </w:t>
      </w:r>
      <w:r w:rsidR="00855E25">
        <w:rPr>
          <w:sz w:val="22"/>
          <w:szCs w:val="22"/>
        </w:rPr>
        <w:t>9</w:t>
      </w:r>
      <w:r w:rsidR="00855E25" w:rsidRPr="007A09E0">
        <w:rPr>
          <w:sz w:val="22"/>
          <w:szCs w:val="22"/>
        </w:rPr>
        <w:t>% of men)</w:t>
      </w:r>
      <w:r w:rsidR="00532F64">
        <w:rPr>
          <w:sz w:val="22"/>
          <w:szCs w:val="22"/>
        </w:rPr>
        <w:t xml:space="preserve">. </w:t>
      </w:r>
    </w:p>
    <w:p w14:paraId="0338A9CE" w14:textId="115CE069" w:rsidR="00250964" w:rsidRPr="007A09E0" w:rsidRDefault="00532F64" w:rsidP="00DE0615">
      <w:pPr>
        <w:pStyle w:val="Default"/>
        <w:numPr>
          <w:ilvl w:val="1"/>
          <w:numId w:val="6"/>
        </w:numPr>
        <w:rPr>
          <w:sz w:val="22"/>
          <w:szCs w:val="22"/>
        </w:rPr>
      </w:pPr>
      <w:r>
        <w:rPr>
          <w:sz w:val="22"/>
          <w:szCs w:val="22"/>
        </w:rPr>
        <w:t>When</w:t>
      </w:r>
      <w:r w:rsidR="00250964" w:rsidRPr="007A09E0">
        <w:rPr>
          <w:sz w:val="22"/>
          <w:szCs w:val="22"/>
        </w:rPr>
        <w:t xml:space="preserve"> asked</w:t>
      </w:r>
      <w:r w:rsidR="0077531C">
        <w:rPr>
          <w:sz w:val="22"/>
          <w:szCs w:val="22"/>
        </w:rPr>
        <w:t xml:space="preserve"> why they hadn’t spoken to their employer</w:t>
      </w:r>
      <w:r>
        <w:rPr>
          <w:sz w:val="22"/>
          <w:szCs w:val="22"/>
        </w:rPr>
        <w:t xml:space="preserve"> about their pain,</w:t>
      </w:r>
      <w:r w:rsidR="0077531C">
        <w:rPr>
          <w:sz w:val="22"/>
          <w:szCs w:val="22"/>
        </w:rPr>
        <w:t xml:space="preserve"> </w:t>
      </w:r>
      <w:r w:rsidR="00250964" w:rsidRPr="007A09E0">
        <w:rPr>
          <w:sz w:val="22"/>
          <w:szCs w:val="22"/>
        </w:rPr>
        <w:t>48%</w:t>
      </w:r>
      <w:r w:rsidR="001873EF">
        <w:rPr>
          <w:sz w:val="22"/>
          <w:szCs w:val="22"/>
        </w:rPr>
        <w:t xml:space="preserve"> of</w:t>
      </w:r>
      <w:r w:rsidR="00080F73">
        <w:rPr>
          <w:sz w:val="22"/>
          <w:szCs w:val="22"/>
        </w:rPr>
        <w:t xml:space="preserve"> women</w:t>
      </w:r>
      <w:r w:rsidR="001873EF">
        <w:rPr>
          <w:sz w:val="22"/>
          <w:szCs w:val="22"/>
        </w:rPr>
        <w:t xml:space="preserve"> who</w:t>
      </w:r>
      <w:r w:rsidR="00110179">
        <w:rPr>
          <w:sz w:val="22"/>
          <w:szCs w:val="22"/>
        </w:rPr>
        <w:t xml:space="preserve"> hadn’t reported their pain </w:t>
      </w:r>
      <w:r w:rsidR="00250964" w:rsidRPr="007A09E0">
        <w:rPr>
          <w:sz w:val="22"/>
          <w:szCs w:val="22"/>
        </w:rPr>
        <w:t>said it was because they’d didn’t think it was a serious enough problem</w:t>
      </w:r>
      <w:r w:rsidR="00530469">
        <w:rPr>
          <w:sz w:val="22"/>
          <w:szCs w:val="22"/>
        </w:rPr>
        <w:t xml:space="preserve"> </w:t>
      </w:r>
      <w:r w:rsidR="00530469" w:rsidRPr="007A09E0">
        <w:rPr>
          <w:sz w:val="22"/>
          <w:szCs w:val="22"/>
        </w:rPr>
        <w:t xml:space="preserve">(in comparison to </w:t>
      </w:r>
      <w:r w:rsidR="00530469">
        <w:rPr>
          <w:sz w:val="22"/>
          <w:szCs w:val="22"/>
        </w:rPr>
        <w:t>43</w:t>
      </w:r>
      <w:r w:rsidR="00530469" w:rsidRPr="007A09E0">
        <w:rPr>
          <w:sz w:val="22"/>
          <w:szCs w:val="22"/>
        </w:rPr>
        <w:t>% of men)</w:t>
      </w:r>
      <w:r w:rsidR="001609BE">
        <w:rPr>
          <w:sz w:val="22"/>
          <w:szCs w:val="22"/>
        </w:rPr>
        <w:t>.</w:t>
      </w:r>
      <w:r w:rsidR="00250964" w:rsidRPr="007A09E0">
        <w:rPr>
          <w:sz w:val="22"/>
          <w:szCs w:val="22"/>
        </w:rPr>
        <w:t xml:space="preserve">  </w:t>
      </w:r>
    </w:p>
    <w:p w14:paraId="282805B4" w14:textId="03DB6661" w:rsidR="009124C2" w:rsidRDefault="00250964" w:rsidP="00DE0615">
      <w:pPr>
        <w:pStyle w:val="Default"/>
        <w:numPr>
          <w:ilvl w:val="1"/>
          <w:numId w:val="6"/>
        </w:numPr>
        <w:rPr>
          <w:sz w:val="22"/>
          <w:szCs w:val="22"/>
        </w:rPr>
      </w:pPr>
      <w:r w:rsidRPr="007A09E0">
        <w:rPr>
          <w:sz w:val="22"/>
          <w:szCs w:val="22"/>
        </w:rPr>
        <w:t>Only 15% said they</w:t>
      </w:r>
      <w:r w:rsidR="00E4687D">
        <w:rPr>
          <w:sz w:val="22"/>
          <w:szCs w:val="22"/>
        </w:rPr>
        <w:t xml:space="preserve"> ha</w:t>
      </w:r>
      <w:r w:rsidRPr="007A09E0">
        <w:rPr>
          <w:sz w:val="22"/>
          <w:szCs w:val="22"/>
        </w:rPr>
        <w:t>d been given advice or support on how they could take care of their musculoskeletal health</w:t>
      </w:r>
      <w:r w:rsidR="009124C2">
        <w:rPr>
          <w:sz w:val="22"/>
          <w:szCs w:val="22"/>
        </w:rPr>
        <w:t xml:space="preserve"> </w:t>
      </w:r>
      <w:r w:rsidR="009124C2" w:rsidRPr="007A09E0">
        <w:rPr>
          <w:sz w:val="22"/>
          <w:szCs w:val="22"/>
        </w:rPr>
        <w:t xml:space="preserve">(in comparison to </w:t>
      </w:r>
      <w:r w:rsidR="009124C2">
        <w:rPr>
          <w:sz w:val="22"/>
          <w:szCs w:val="22"/>
        </w:rPr>
        <w:t>20</w:t>
      </w:r>
      <w:r w:rsidR="009124C2" w:rsidRPr="007A09E0">
        <w:rPr>
          <w:sz w:val="22"/>
          <w:szCs w:val="22"/>
        </w:rPr>
        <w:t>% of men)</w:t>
      </w:r>
      <w:r w:rsidR="009124C2">
        <w:rPr>
          <w:sz w:val="22"/>
          <w:szCs w:val="22"/>
        </w:rPr>
        <w:t>.</w:t>
      </w:r>
      <w:r w:rsidR="009124C2" w:rsidRPr="007A09E0">
        <w:rPr>
          <w:sz w:val="22"/>
          <w:szCs w:val="22"/>
        </w:rPr>
        <w:t xml:space="preserve">  </w:t>
      </w:r>
    </w:p>
    <w:p w14:paraId="6550646F" w14:textId="6700E397" w:rsidR="00250964" w:rsidRPr="009124C2" w:rsidRDefault="00250964" w:rsidP="00DE0615">
      <w:pPr>
        <w:pStyle w:val="Default"/>
        <w:numPr>
          <w:ilvl w:val="1"/>
          <w:numId w:val="6"/>
        </w:numPr>
        <w:rPr>
          <w:sz w:val="22"/>
          <w:szCs w:val="22"/>
        </w:rPr>
      </w:pPr>
      <w:r w:rsidRPr="009124C2">
        <w:rPr>
          <w:sz w:val="22"/>
          <w:szCs w:val="22"/>
        </w:rPr>
        <w:t>44% said they take fewer breaks from work than they did at the start of lockdown (in comparison to 38% of men)</w:t>
      </w:r>
      <w:r w:rsidR="00B22F67" w:rsidRPr="009124C2">
        <w:rPr>
          <w:sz w:val="22"/>
          <w:szCs w:val="22"/>
        </w:rPr>
        <w:t>.</w:t>
      </w:r>
    </w:p>
    <w:p w14:paraId="5829D735" w14:textId="5355B028" w:rsidR="00250964" w:rsidRPr="007A09E0" w:rsidRDefault="00250964" w:rsidP="00DE0615">
      <w:pPr>
        <w:pStyle w:val="Default"/>
        <w:numPr>
          <w:ilvl w:val="1"/>
          <w:numId w:val="6"/>
        </w:numPr>
        <w:rPr>
          <w:sz w:val="22"/>
          <w:szCs w:val="22"/>
        </w:rPr>
      </w:pPr>
      <w:r w:rsidRPr="007A09E0">
        <w:rPr>
          <w:sz w:val="22"/>
          <w:szCs w:val="22"/>
        </w:rPr>
        <w:t>58% said they were less physically active working from home th</w:t>
      </w:r>
      <w:r w:rsidR="00B22F67">
        <w:rPr>
          <w:sz w:val="22"/>
          <w:szCs w:val="22"/>
        </w:rPr>
        <w:t>a</w:t>
      </w:r>
      <w:r w:rsidRPr="007A09E0">
        <w:rPr>
          <w:sz w:val="22"/>
          <w:szCs w:val="22"/>
        </w:rPr>
        <w:t>n in a normal workplace (in comparison to 51% of men)</w:t>
      </w:r>
      <w:r w:rsidR="00B22F67">
        <w:rPr>
          <w:sz w:val="22"/>
          <w:szCs w:val="22"/>
        </w:rPr>
        <w:t>.</w:t>
      </w:r>
    </w:p>
    <w:p w14:paraId="5831E0C6" w14:textId="5F44637A" w:rsidR="00250964" w:rsidRDefault="00250964" w:rsidP="00DE0615">
      <w:pPr>
        <w:pStyle w:val="Default"/>
        <w:numPr>
          <w:ilvl w:val="1"/>
          <w:numId w:val="6"/>
        </w:numPr>
        <w:rPr>
          <w:sz w:val="22"/>
          <w:szCs w:val="22"/>
        </w:rPr>
      </w:pPr>
      <w:r w:rsidRPr="007A09E0">
        <w:rPr>
          <w:sz w:val="22"/>
          <w:szCs w:val="22"/>
        </w:rPr>
        <w:t>Only 45% report that they were mostly working from a desk set up, rather than using their home furniture (in comparison to 60% of men who reported having access to a desk for work).</w:t>
      </w:r>
      <w:r w:rsidRPr="007A09E0">
        <w:rPr>
          <w:sz w:val="22"/>
          <w:szCs w:val="22"/>
        </w:rPr>
        <w:tab/>
      </w:r>
    </w:p>
    <w:p w14:paraId="5DA92CA4" w14:textId="77777777" w:rsidR="001E59A6" w:rsidRDefault="001E59A6" w:rsidP="001E59A6">
      <w:pPr>
        <w:pStyle w:val="Default"/>
        <w:ind w:left="1211"/>
        <w:rPr>
          <w:sz w:val="22"/>
          <w:szCs w:val="22"/>
        </w:rPr>
      </w:pPr>
    </w:p>
    <w:p w14:paraId="336193C5" w14:textId="7EF8FBD3" w:rsidR="001E59A6" w:rsidRPr="001E59A6" w:rsidRDefault="001E59A6" w:rsidP="001E59A6">
      <w:pPr>
        <w:spacing w:before="120"/>
        <w:rPr>
          <w:rFonts w:cs="Arial"/>
          <w:sz w:val="22"/>
        </w:rPr>
      </w:pPr>
      <w:r>
        <w:rPr>
          <w:rFonts w:cs="Arial"/>
          <w:noProof/>
          <w:sz w:val="22"/>
        </w:rPr>
        <mc:AlternateContent>
          <mc:Choice Requires="wps">
            <w:drawing>
              <wp:anchor distT="0" distB="0" distL="114300" distR="114300" simplePos="0" relativeHeight="251659264" behindDoc="0" locked="0" layoutInCell="1" allowOverlap="1" wp14:anchorId="30E1BF9F" wp14:editId="755BD697">
                <wp:simplePos x="0" y="0"/>
                <wp:positionH relativeFrom="margin">
                  <wp:align>right</wp:align>
                </wp:positionH>
                <wp:positionV relativeFrom="paragraph">
                  <wp:posOffset>136105</wp:posOffset>
                </wp:positionV>
                <wp:extent cx="6130344" cy="6439"/>
                <wp:effectExtent l="0" t="0" r="22860" b="31750"/>
                <wp:wrapNone/>
                <wp:docPr id="1" name="Straight Connector 1"/>
                <wp:cNvGraphicFramePr/>
                <a:graphic xmlns:a="http://schemas.openxmlformats.org/drawingml/2006/main">
                  <a:graphicData uri="http://schemas.microsoft.com/office/word/2010/wordprocessingShape">
                    <wps:wsp>
                      <wps:cNvCnPr/>
                      <wps:spPr>
                        <a:xfrm flipV="1">
                          <a:off x="0" y="0"/>
                          <a:ext cx="6130344"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8F743"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1.5pt,10.7pt" to="91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" strokecolor="black [3200]" strokeweight=".5pt">
                <v:stroke joinstyle="miter"/>
                <w10:wrap anchorx="margin"/>
              </v:line>
            </w:pict>
          </mc:Fallback>
        </mc:AlternateContent>
      </w:r>
    </w:p>
    <w:p w14:paraId="040B8725" w14:textId="25DFD1D7" w:rsidR="001E59A6" w:rsidRPr="001E59A6" w:rsidRDefault="001E59A6" w:rsidP="001E59A6">
      <w:pPr>
        <w:spacing w:before="120"/>
        <w:rPr>
          <w:rFonts w:cs="Arial"/>
          <w:sz w:val="22"/>
        </w:rPr>
      </w:pPr>
      <w:r w:rsidRPr="001E59A6">
        <w:rPr>
          <w:rFonts w:cs="Arial"/>
          <w:sz w:val="22"/>
        </w:rPr>
        <w:t>For further information on this submission, please contact: Madeleine Webb, Policy Officer, Versus Arthritis</w:t>
      </w:r>
      <w:r w:rsidR="004308BD">
        <w:rPr>
          <w:rFonts w:cs="Arial"/>
          <w:sz w:val="22"/>
        </w:rPr>
        <w:t xml:space="preserve"> -</w:t>
      </w:r>
      <w:r w:rsidRPr="001E59A6">
        <w:rPr>
          <w:rFonts w:cs="Arial"/>
          <w:sz w:val="22"/>
        </w:rPr>
        <w:t xml:space="preserve"> </w:t>
      </w:r>
      <w:hyperlink r:id="rId12" w:history="1">
        <w:r w:rsidRPr="001E59A6">
          <w:rPr>
            <w:rStyle w:val="Hyperlink"/>
            <w:rFonts w:cs="Arial"/>
            <w:sz w:val="22"/>
          </w:rPr>
          <w:t>m.evanswebb@versusarthritis.org</w:t>
        </w:r>
      </w:hyperlink>
      <w:r w:rsidRPr="001E59A6">
        <w:rPr>
          <w:rFonts w:cs="Arial"/>
          <w:sz w:val="22"/>
        </w:rPr>
        <w:t xml:space="preserve"> </w:t>
      </w:r>
    </w:p>
    <w:p w14:paraId="7C539977" w14:textId="77777777" w:rsidR="001E59A6" w:rsidRDefault="001E59A6"/>
    <w:p w14:paraId="49471EA3" w14:textId="77777777" w:rsidR="001E59A6" w:rsidRDefault="001E59A6">
      <w:pPr>
        <w:rPr>
          <w:b/>
          <w:bCs/>
          <w:sz w:val="22"/>
        </w:rPr>
      </w:pPr>
      <w:r>
        <w:rPr>
          <w:b/>
          <w:bCs/>
          <w:sz w:val="22"/>
        </w:rPr>
        <w:br w:type="page"/>
      </w:r>
    </w:p>
    <w:p w14:paraId="0789CA9C" w14:textId="3E2269F1" w:rsidR="00FA1BC8" w:rsidRPr="000B06D0" w:rsidRDefault="00FA1BC8" w:rsidP="00FA1BC8">
      <w:pPr>
        <w:spacing w:after="0"/>
        <w:rPr>
          <w:b/>
          <w:bCs/>
          <w:sz w:val="22"/>
        </w:rPr>
      </w:pPr>
      <w:r w:rsidRPr="000B06D0">
        <w:rPr>
          <w:b/>
          <w:bCs/>
          <w:sz w:val="22"/>
        </w:rPr>
        <w:lastRenderedPageBreak/>
        <w:t>References</w:t>
      </w:r>
    </w:p>
    <w:sectPr w:rsidR="00FA1BC8" w:rsidRPr="000B06D0" w:rsidSect="00FC5D61">
      <w:footerReference w:type="default" r:id="rId13"/>
      <w:footnotePr>
        <w:numFmt w:val="chicago"/>
      </w:footnotePr>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74DC" w14:textId="77777777" w:rsidR="002E2376" w:rsidRDefault="002E2376" w:rsidP="00250964">
      <w:pPr>
        <w:spacing w:after="0" w:line="240" w:lineRule="auto"/>
      </w:pPr>
      <w:r>
        <w:separator/>
      </w:r>
    </w:p>
  </w:endnote>
  <w:endnote w:type="continuationSeparator" w:id="0">
    <w:p w14:paraId="5BEAAC49" w14:textId="77777777" w:rsidR="002E2376" w:rsidRDefault="002E2376" w:rsidP="00250964">
      <w:pPr>
        <w:spacing w:after="0" w:line="240" w:lineRule="auto"/>
      </w:pPr>
      <w:r>
        <w:continuationSeparator/>
      </w:r>
    </w:p>
  </w:endnote>
  <w:endnote w:type="continuationNotice" w:id="1">
    <w:p w14:paraId="3D8D2B59" w14:textId="77777777" w:rsidR="002E2376" w:rsidRDefault="002E2376">
      <w:pPr>
        <w:spacing w:after="0" w:line="240" w:lineRule="auto"/>
      </w:pPr>
    </w:p>
  </w:endnote>
  <w:endnote w:id="2">
    <w:p w14:paraId="567324D1" w14:textId="35EF3A36" w:rsidR="00A80072" w:rsidRPr="00100D55" w:rsidRDefault="00A80072" w:rsidP="00A80072">
      <w:pPr>
        <w:pStyle w:val="EndnoteText"/>
        <w:rPr>
          <w:rFonts w:cs="Arial"/>
          <w:sz w:val="20"/>
        </w:rPr>
      </w:pPr>
      <w:r w:rsidRPr="00100D55">
        <w:rPr>
          <w:rStyle w:val="EndnoteReference"/>
          <w:rFonts w:cs="Arial"/>
          <w:sz w:val="20"/>
        </w:rPr>
        <w:endnoteRef/>
      </w:r>
      <w:r w:rsidRPr="00100D55">
        <w:rPr>
          <w:rFonts w:cs="Arial"/>
          <w:sz w:val="20"/>
        </w:rPr>
        <w:t xml:space="preserve"> Department of Health and Social Care (2021). </w:t>
      </w:r>
      <w:r w:rsidR="00100D55" w:rsidRPr="00100D55">
        <w:rPr>
          <w:rFonts w:cs="Arial"/>
          <w:sz w:val="20"/>
        </w:rPr>
        <w:t>Women's Health Strategy: Call for Evidence</w:t>
      </w:r>
      <w:r w:rsidR="00100D55">
        <w:rPr>
          <w:rFonts w:cs="Arial"/>
          <w:sz w:val="20"/>
        </w:rPr>
        <w:t xml:space="preserve">. </w:t>
      </w:r>
      <w:r w:rsidRPr="00100D55">
        <w:rPr>
          <w:rFonts w:cs="Arial"/>
          <w:sz w:val="20"/>
        </w:rPr>
        <w:t xml:space="preserve">Available here: </w:t>
      </w:r>
      <w:hyperlink r:id="rId1" w:anchor="how-to-respond" w:history="1">
        <w:r w:rsidR="00100D55" w:rsidRPr="00E42BBF">
          <w:rPr>
            <w:rStyle w:val="Hyperlink"/>
            <w:rFonts w:cs="Arial"/>
            <w:sz w:val="20"/>
          </w:rPr>
          <w:t>https://www.gov.uk/government/consultations/womens-health-strategy-call-for-evidence/womens-health-strategy-call-for-evidence#how-to-respond</w:t>
        </w:r>
      </w:hyperlink>
      <w:r w:rsidR="00100D55">
        <w:rPr>
          <w:rFonts w:cs="Arial"/>
          <w:sz w:val="20"/>
        </w:rPr>
        <w:t xml:space="preserve"> </w:t>
      </w:r>
    </w:p>
  </w:endnote>
  <w:endnote w:id="3">
    <w:p w14:paraId="1A584E9A" w14:textId="77777777" w:rsidR="00A80072" w:rsidRPr="00100D55" w:rsidRDefault="00A80072" w:rsidP="00A80072">
      <w:pPr>
        <w:pStyle w:val="EndnoteText"/>
        <w:rPr>
          <w:rFonts w:cs="Arial"/>
          <w:sz w:val="20"/>
        </w:rPr>
      </w:pPr>
      <w:r w:rsidRPr="00100D55">
        <w:rPr>
          <w:rStyle w:val="EndnoteReference"/>
          <w:rFonts w:cs="Arial"/>
          <w:sz w:val="20"/>
        </w:rPr>
        <w:endnoteRef/>
      </w:r>
      <w:r w:rsidRPr="00100D55">
        <w:rPr>
          <w:rFonts w:cs="Arial"/>
          <w:sz w:val="20"/>
        </w:rPr>
        <w:t xml:space="preserve"> About Us. Versus Arthritis. Available here: </w:t>
      </w:r>
      <w:hyperlink r:id="rId2" w:history="1">
        <w:r w:rsidRPr="00100D55">
          <w:rPr>
            <w:rStyle w:val="Hyperlink"/>
            <w:sz w:val="20"/>
          </w:rPr>
          <w:t>https://www.versusarthritis.org/about-us/</w:t>
        </w:r>
      </w:hyperlink>
    </w:p>
  </w:endnote>
  <w:endnote w:id="4">
    <w:p w14:paraId="5D1D0168" w14:textId="34E84B15" w:rsidR="0093635E" w:rsidRPr="0093635E" w:rsidRDefault="0093635E">
      <w:pPr>
        <w:pStyle w:val="EndnoteText"/>
        <w:rPr>
          <w:sz w:val="20"/>
        </w:rPr>
      </w:pPr>
      <w:r w:rsidRPr="0093635E">
        <w:rPr>
          <w:rStyle w:val="EndnoteReference"/>
          <w:sz w:val="20"/>
        </w:rPr>
        <w:endnoteRef/>
      </w:r>
      <w:r w:rsidRPr="0093635E">
        <w:rPr>
          <w:sz w:val="20"/>
        </w:rPr>
        <w:t xml:space="preserve"> Versus Arthritis (2020). The State of Musculoskeletal Health 2019. Available </w:t>
      </w:r>
      <w:hyperlink r:id="rId3" w:history="1">
        <w:r w:rsidRPr="0093635E">
          <w:rPr>
            <w:rStyle w:val="Hyperlink"/>
            <w:sz w:val="20"/>
          </w:rPr>
          <w:t>https://www.versusarthritis.org/media/14594/state-of-musculoskeletal-health-2019.pdf</w:t>
        </w:r>
      </w:hyperlink>
    </w:p>
  </w:endnote>
  <w:endnote w:id="5">
    <w:p w14:paraId="6D09152A" w14:textId="3D8206AA" w:rsidR="00250964" w:rsidRPr="00170911" w:rsidRDefault="00250964" w:rsidP="00250964">
      <w:pPr>
        <w:pStyle w:val="EndnoteText"/>
        <w:widowControl w:val="0"/>
        <w:rPr>
          <w:sz w:val="20"/>
        </w:rPr>
      </w:pPr>
      <w:r w:rsidRPr="00170911">
        <w:rPr>
          <w:rStyle w:val="EndnoteReference"/>
          <w:sz w:val="20"/>
        </w:rPr>
        <w:endnoteRef/>
      </w:r>
      <w:r w:rsidRPr="00170911">
        <w:rPr>
          <w:sz w:val="20"/>
        </w:rPr>
        <w:t xml:space="preserve"> </w:t>
      </w:r>
      <w:bookmarkStart w:id="3" w:name="_Hlk72414620"/>
      <w:bookmarkStart w:id="4" w:name="_Hlk72414677"/>
      <w:r w:rsidR="009815FA" w:rsidRPr="00170911">
        <w:rPr>
          <w:sz w:val="20"/>
        </w:rPr>
        <w:t>Institute for Health Metrics and Evaluation (IHME)</w:t>
      </w:r>
      <w:r w:rsidR="009815FA">
        <w:rPr>
          <w:sz w:val="20"/>
        </w:rPr>
        <w:t xml:space="preserve"> (2021). </w:t>
      </w:r>
      <w:r w:rsidRPr="00170911">
        <w:rPr>
          <w:sz w:val="20"/>
        </w:rPr>
        <w:t>Global Burden of Disease Study 2019 (GBD 2019) Results</w:t>
      </w:r>
      <w:bookmarkEnd w:id="3"/>
      <w:bookmarkEnd w:id="4"/>
      <w:r w:rsidR="009815FA">
        <w:rPr>
          <w:sz w:val="20"/>
        </w:rPr>
        <w:t>.</w:t>
      </w:r>
    </w:p>
  </w:endnote>
  <w:endnote w:id="6">
    <w:p w14:paraId="7A325AFA" w14:textId="77777777" w:rsidR="00156DFC" w:rsidRPr="00F11796" w:rsidRDefault="00156DFC" w:rsidP="00156DFC">
      <w:pPr>
        <w:pStyle w:val="EndnoteText"/>
        <w:widowControl w:val="0"/>
        <w:rPr>
          <w:sz w:val="20"/>
        </w:rPr>
      </w:pPr>
      <w:r w:rsidRPr="00170911">
        <w:rPr>
          <w:rStyle w:val="EndnoteReference"/>
          <w:sz w:val="20"/>
        </w:rPr>
        <w:endnoteRef/>
      </w:r>
      <w:r w:rsidRPr="00170911">
        <w:rPr>
          <w:sz w:val="20"/>
        </w:rPr>
        <w:t xml:space="preserve"> Ipsos Mori; NHS England</w:t>
      </w:r>
      <w:r>
        <w:rPr>
          <w:sz w:val="20"/>
        </w:rPr>
        <w:t xml:space="preserve"> (</w:t>
      </w:r>
      <w:r w:rsidRPr="00F11796">
        <w:rPr>
          <w:sz w:val="20"/>
        </w:rPr>
        <w:t>2020</w:t>
      </w:r>
      <w:r>
        <w:rPr>
          <w:sz w:val="20"/>
        </w:rPr>
        <w:t>)</w:t>
      </w:r>
      <w:r w:rsidRPr="00F11796">
        <w:rPr>
          <w:sz w:val="20"/>
        </w:rPr>
        <w:t>.</w:t>
      </w:r>
      <w:r w:rsidRPr="00170911">
        <w:rPr>
          <w:sz w:val="20"/>
        </w:rPr>
        <w:t xml:space="preserve">GP Patient Survey January-March 2020 (analysis available on PHE Fingertips), </w:t>
      </w:r>
      <w:r w:rsidRPr="00F11796">
        <w:rPr>
          <w:sz w:val="20"/>
        </w:rPr>
        <w:t>NHS England.</w:t>
      </w:r>
    </w:p>
  </w:endnote>
  <w:endnote w:id="7">
    <w:p w14:paraId="2B409F3E" w14:textId="01B5374F" w:rsidR="00210EC8" w:rsidRPr="0015488D" w:rsidRDefault="00210EC8">
      <w:pPr>
        <w:pStyle w:val="EndnoteText"/>
        <w:rPr>
          <w:sz w:val="20"/>
        </w:rPr>
      </w:pPr>
      <w:r w:rsidRPr="0015488D">
        <w:rPr>
          <w:rStyle w:val="EndnoteReference"/>
          <w:sz w:val="20"/>
        </w:rPr>
        <w:endnoteRef/>
      </w:r>
      <w:r w:rsidRPr="0015488D">
        <w:rPr>
          <w:sz w:val="20"/>
        </w:rPr>
        <w:t xml:space="preserve"> </w:t>
      </w:r>
      <w:r w:rsidR="0015488D" w:rsidRPr="0015488D">
        <w:rPr>
          <w:sz w:val="20"/>
        </w:rPr>
        <w:t xml:space="preserve">Public Health England (PHE), (2020). Chronic pain in adults 2017: Health Survey for England, PHE, London. Available </w:t>
      </w:r>
      <w:hyperlink r:id="rId4" w:history="1">
        <w:r w:rsidR="0015488D" w:rsidRPr="0015488D">
          <w:rPr>
            <w:rStyle w:val="Hyperlink"/>
            <w:sz w:val="20"/>
          </w:rPr>
          <w:t>https://assets.publishing.service.gov.uk/government/uploads/system/uploads/attachment_data/file/940858/Chronic_Pain_Report.pdf</w:t>
        </w:r>
      </w:hyperlink>
    </w:p>
  </w:endnote>
  <w:endnote w:id="8">
    <w:p w14:paraId="084D732E" w14:textId="4AE20A80" w:rsidR="00CE6DF8" w:rsidRDefault="00CE6DF8">
      <w:pPr>
        <w:pStyle w:val="EndnoteText"/>
      </w:pPr>
      <w:r>
        <w:rPr>
          <w:rStyle w:val="EndnoteReference"/>
        </w:rPr>
        <w:endnoteRef/>
      </w:r>
      <w:r>
        <w:t xml:space="preserve"> </w:t>
      </w:r>
      <w:r>
        <w:rPr>
          <w:rFonts w:cs="Arial"/>
          <w:color w:val="222222"/>
          <w:sz w:val="20"/>
          <w:shd w:val="clear" w:color="auto" w:fill="FFFFFF"/>
        </w:rPr>
        <w:t>Khadilkar, S. S. (2019). Musculoskeletal disorders and menopause.</w:t>
      </w:r>
    </w:p>
  </w:endnote>
  <w:endnote w:id="9">
    <w:p w14:paraId="19164866" w14:textId="203C890B" w:rsidR="00B05F38" w:rsidRPr="00B05F38" w:rsidRDefault="00B05F38">
      <w:pPr>
        <w:pStyle w:val="EndnoteText"/>
        <w:rPr>
          <w:sz w:val="20"/>
        </w:rPr>
      </w:pPr>
      <w:r w:rsidRPr="00B05F38">
        <w:rPr>
          <w:rStyle w:val="EndnoteReference"/>
          <w:sz w:val="20"/>
        </w:rPr>
        <w:endnoteRef/>
      </w:r>
      <w:r w:rsidRPr="00B05F38">
        <w:rPr>
          <w:sz w:val="20"/>
        </w:rPr>
        <w:t xml:space="preserve"> </w:t>
      </w:r>
      <w:r w:rsidRPr="00B05F38">
        <w:rPr>
          <w:rFonts w:cs="Arial"/>
          <w:color w:val="222222"/>
          <w:sz w:val="20"/>
          <w:shd w:val="clear" w:color="auto" w:fill="FFFFFF"/>
        </w:rPr>
        <w:t>Hame, S. L., &amp; Alexander, R. A. (2013). Knee osteoarthritis in women. </w:t>
      </w:r>
      <w:r w:rsidRPr="00B05F38">
        <w:rPr>
          <w:rFonts w:cs="Arial"/>
          <w:i/>
          <w:iCs/>
          <w:color w:val="222222"/>
          <w:sz w:val="20"/>
          <w:shd w:val="clear" w:color="auto" w:fill="FFFFFF"/>
        </w:rPr>
        <w:t>Current reviews in musculoskeletal medicine</w:t>
      </w:r>
      <w:r w:rsidRPr="00B05F38">
        <w:rPr>
          <w:rFonts w:cs="Arial"/>
          <w:color w:val="222222"/>
          <w:sz w:val="20"/>
          <w:shd w:val="clear" w:color="auto" w:fill="FFFFFF"/>
        </w:rPr>
        <w:t>, </w:t>
      </w:r>
      <w:r w:rsidRPr="00B05F38">
        <w:rPr>
          <w:rFonts w:cs="Arial"/>
          <w:i/>
          <w:iCs/>
          <w:color w:val="222222"/>
          <w:sz w:val="20"/>
          <w:shd w:val="clear" w:color="auto" w:fill="FFFFFF"/>
        </w:rPr>
        <w:t>6</w:t>
      </w:r>
      <w:r w:rsidRPr="00B05F38">
        <w:rPr>
          <w:rFonts w:cs="Arial"/>
          <w:color w:val="222222"/>
          <w:sz w:val="20"/>
          <w:shd w:val="clear" w:color="auto" w:fill="FFFFFF"/>
        </w:rPr>
        <w:t>(2), 182-187.</w:t>
      </w:r>
    </w:p>
  </w:endnote>
  <w:endnote w:id="10">
    <w:p w14:paraId="082B592F" w14:textId="77777777" w:rsidR="00FB18DA" w:rsidRPr="00223AF0" w:rsidRDefault="00FB18DA" w:rsidP="00FB18DA">
      <w:pPr>
        <w:pStyle w:val="EndnoteText"/>
        <w:rPr>
          <w:sz w:val="20"/>
        </w:rPr>
      </w:pPr>
      <w:r w:rsidRPr="00223AF0">
        <w:rPr>
          <w:rStyle w:val="EndnoteReference"/>
          <w:sz w:val="20"/>
        </w:rPr>
        <w:endnoteRef/>
      </w:r>
      <w:r w:rsidRPr="00223AF0">
        <w:rPr>
          <w:sz w:val="20"/>
        </w:rPr>
        <w:t xml:space="preserve"> </w:t>
      </w:r>
      <w:r w:rsidRPr="00223AF0">
        <w:rPr>
          <w:rFonts w:cs="Arial"/>
          <w:color w:val="222222"/>
          <w:sz w:val="20"/>
          <w:shd w:val="clear" w:color="auto" w:fill="FFFFFF"/>
        </w:rPr>
        <w:t>Angum, F., Khan, T., Kaler, J., Siddiqui, L., &amp; Hussain, A. (2020). The prevalence of autoimmune disorders in women: a narrative review. </w:t>
      </w:r>
      <w:r w:rsidRPr="00223AF0">
        <w:rPr>
          <w:rFonts w:cs="Arial"/>
          <w:i/>
          <w:iCs/>
          <w:color w:val="222222"/>
          <w:sz w:val="20"/>
          <w:shd w:val="clear" w:color="auto" w:fill="FFFFFF"/>
        </w:rPr>
        <w:t>Cureus</w:t>
      </w:r>
      <w:r w:rsidRPr="00223AF0">
        <w:rPr>
          <w:rFonts w:cs="Arial"/>
          <w:color w:val="222222"/>
          <w:sz w:val="20"/>
          <w:shd w:val="clear" w:color="auto" w:fill="FFFFFF"/>
        </w:rPr>
        <w:t>, </w:t>
      </w:r>
      <w:r w:rsidRPr="00223AF0">
        <w:rPr>
          <w:rFonts w:cs="Arial"/>
          <w:i/>
          <w:iCs/>
          <w:color w:val="222222"/>
          <w:sz w:val="20"/>
          <w:shd w:val="clear" w:color="auto" w:fill="FFFFFF"/>
        </w:rPr>
        <w:t>12</w:t>
      </w:r>
      <w:r w:rsidRPr="00223AF0">
        <w:rPr>
          <w:rFonts w:cs="Arial"/>
          <w:color w:val="222222"/>
          <w:sz w:val="20"/>
          <w:shd w:val="clear" w:color="auto" w:fill="FFFFFF"/>
        </w:rPr>
        <w:t>(5).</w:t>
      </w:r>
    </w:p>
  </w:endnote>
  <w:endnote w:id="11">
    <w:p w14:paraId="619A3934" w14:textId="5538BF32" w:rsidR="0075386F" w:rsidRPr="004564D0" w:rsidRDefault="0075386F" w:rsidP="0060352B">
      <w:pPr>
        <w:pStyle w:val="EndnoteText"/>
        <w:rPr>
          <w:sz w:val="20"/>
        </w:rPr>
      </w:pPr>
      <w:r>
        <w:rPr>
          <w:rStyle w:val="EndnoteReference"/>
        </w:rPr>
        <w:endnoteRef/>
      </w:r>
      <w:r>
        <w:t xml:space="preserve"> </w:t>
      </w:r>
      <w:r>
        <w:rPr>
          <w:sz w:val="20"/>
        </w:rPr>
        <w:t>British Medi</w:t>
      </w:r>
      <w:r w:rsidR="005B4F28">
        <w:rPr>
          <w:sz w:val="20"/>
        </w:rPr>
        <w:t xml:space="preserve">cal Association </w:t>
      </w:r>
      <w:r w:rsidR="00C57C8B">
        <w:rPr>
          <w:sz w:val="20"/>
        </w:rPr>
        <w:t>(2018).</w:t>
      </w:r>
      <w:r w:rsidR="0060352B" w:rsidRPr="0060352B">
        <w:t xml:space="preserve"> </w:t>
      </w:r>
      <w:r w:rsidR="0060352B" w:rsidRPr="0060352B">
        <w:rPr>
          <w:sz w:val="20"/>
        </w:rPr>
        <w:t>Addressing unmet needs in women’s mental health</w:t>
      </w:r>
      <w:r w:rsidR="0060352B">
        <w:rPr>
          <w:sz w:val="20"/>
        </w:rPr>
        <w:t xml:space="preserve">. Available: </w:t>
      </w:r>
      <w:hyperlink r:id="rId5" w:history="1">
        <w:r w:rsidR="0060352B" w:rsidRPr="004564D0">
          <w:rPr>
            <w:rStyle w:val="Hyperlink"/>
            <w:sz w:val="20"/>
          </w:rPr>
          <w:t>https://www.bma.org.uk/media/2115/bma-womens-mental-health-report-aug-2018.pdf</w:t>
        </w:r>
      </w:hyperlink>
      <w:r w:rsidR="0060352B" w:rsidRPr="004564D0">
        <w:rPr>
          <w:sz w:val="20"/>
        </w:rPr>
        <w:t xml:space="preserve"> </w:t>
      </w:r>
    </w:p>
  </w:endnote>
  <w:endnote w:id="12">
    <w:p w14:paraId="3448EA81" w14:textId="1016BC77" w:rsidR="003C4BFF" w:rsidRPr="00461E7D" w:rsidRDefault="003C4BFF">
      <w:pPr>
        <w:pStyle w:val="EndnoteText"/>
        <w:rPr>
          <w:sz w:val="20"/>
        </w:rPr>
      </w:pPr>
      <w:r w:rsidRPr="004564D0">
        <w:rPr>
          <w:rStyle w:val="EndnoteReference"/>
          <w:sz w:val="20"/>
        </w:rPr>
        <w:endnoteRef/>
      </w:r>
      <w:r w:rsidRPr="004564D0">
        <w:rPr>
          <w:sz w:val="20"/>
        </w:rPr>
        <w:t xml:space="preserve"> Arth</w:t>
      </w:r>
      <w:r w:rsidR="004F644F" w:rsidRPr="004564D0">
        <w:rPr>
          <w:sz w:val="20"/>
        </w:rPr>
        <w:t xml:space="preserve">ritis and Musucloskeletal Alliance (2018). </w:t>
      </w:r>
      <w:r w:rsidR="004564D0" w:rsidRPr="004564D0">
        <w:rPr>
          <w:sz w:val="20"/>
        </w:rPr>
        <w:t xml:space="preserve">Musculoskeletal and Mental Health: Policy Position Paper. </w:t>
      </w:r>
      <w:r w:rsidR="004564D0" w:rsidRPr="00461E7D">
        <w:rPr>
          <w:sz w:val="20"/>
        </w:rPr>
        <w:t xml:space="preserve">Available: </w:t>
      </w:r>
      <w:hyperlink r:id="rId6" w:history="1">
        <w:r w:rsidR="004564D0" w:rsidRPr="00461E7D">
          <w:rPr>
            <w:rStyle w:val="Hyperlink"/>
            <w:sz w:val="20"/>
          </w:rPr>
          <w:t>http://arma.uk.net/wp-content/uploads/2018/11/MSK-and-Mental-Health-Nov2018.pdf</w:t>
        </w:r>
      </w:hyperlink>
      <w:r w:rsidR="004564D0" w:rsidRPr="00461E7D">
        <w:rPr>
          <w:sz w:val="20"/>
        </w:rPr>
        <w:t xml:space="preserve"> </w:t>
      </w:r>
    </w:p>
  </w:endnote>
  <w:endnote w:id="13">
    <w:p w14:paraId="68B4537F" w14:textId="77777777" w:rsidR="00586DFF" w:rsidRPr="00461E7D" w:rsidRDefault="00586DFF" w:rsidP="00586DFF">
      <w:pPr>
        <w:pStyle w:val="EndnoteText"/>
        <w:rPr>
          <w:sz w:val="20"/>
        </w:rPr>
      </w:pPr>
      <w:r w:rsidRPr="0043317B">
        <w:rPr>
          <w:rStyle w:val="EndnoteReference"/>
          <w:sz w:val="20"/>
        </w:rPr>
        <w:endnoteRef/>
      </w:r>
      <w:r w:rsidRPr="0043317B">
        <w:rPr>
          <w:sz w:val="20"/>
        </w:rPr>
        <w:t xml:space="preserve"> National Education Union (2019). Women and Poverty. Available: </w:t>
      </w:r>
      <w:hyperlink r:id="rId7" w:history="1">
        <w:r w:rsidRPr="0043317B">
          <w:rPr>
            <w:rStyle w:val="Hyperlink"/>
            <w:sz w:val="20"/>
          </w:rPr>
          <w:t>https://neu.org.uk/advice/women-and-poverty</w:t>
        </w:r>
      </w:hyperlink>
      <w:r w:rsidRPr="0043317B">
        <w:rPr>
          <w:sz w:val="20"/>
        </w:rPr>
        <w:t xml:space="preserve"> </w:t>
      </w:r>
    </w:p>
  </w:endnote>
  <w:endnote w:id="14">
    <w:p w14:paraId="68F4121D" w14:textId="77777777" w:rsidR="00586DFF" w:rsidRPr="00495835" w:rsidRDefault="00586DFF" w:rsidP="00586DFF">
      <w:pPr>
        <w:pStyle w:val="EndnoteText"/>
        <w:rPr>
          <w:sz w:val="20"/>
        </w:rPr>
      </w:pPr>
      <w:r w:rsidRPr="00495835">
        <w:rPr>
          <w:rStyle w:val="EndnoteReference"/>
          <w:sz w:val="20"/>
        </w:rPr>
        <w:endnoteRef/>
      </w:r>
      <w:r w:rsidRPr="00495835">
        <w:rPr>
          <w:sz w:val="20"/>
        </w:rPr>
        <w:t xml:space="preserve"> </w:t>
      </w:r>
      <w:r w:rsidRPr="00495835">
        <w:rPr>
          <w:rFonts w:cs="Arial"/>
          <w:color w:val="222222"/>
          <w:sz w:val="20"/>
          <w:shd w:val="clear" w:color="auto" w:fill="FFFFFF"/>
        </w:rPr>
        <w:t>Hick, R., &amp; Lanau, A. (2017). In-work poverty in the UK: Problem, policy analysis and platform for action.</w:t>
      </w:r>
    </w:p>
  </w:endnote>
  <w:endnote w:id="15">
    <w:p w14:paraId="7667E0B6" w14:textId="77777777" w:rsidR="00586DFF" w:rsidRPr="00D24E55" w:rsidRDefault="00586DFF" w:rsidP="00586DFF">
      <w:pPr>
        <w:pStyle w:val="EndnoteText"/>
        <w:rPr>
          <w:sz w:val="20"/>
        </w:rPr>
      </w:pPr>
      <w:r w:rsidRPr="00D24E55">
        <w:rPr>
          <w:rStyle w:val="EndnoteReference"/>
          <w:sz w:val="20"/>
        </w:rPr>
        <w:endnoteRef/>
      </w:r>
      <w:r w:rsidRPr="00D24E55">
        <w:rPr>
          <w:sz w:val="20"/>
        </w:rPr>
        <w:t xml:space="preserve"> Cleveland, R. J., Luong, M. L. N., Knight, J. B., Schoster, B., Renner, J. B., Jordan, J. M., &amp; Callahan, L. F. (2013). Independent associations of socioeconomic factors with disability and pain in adults with knee osteoarthritis. BMC musculoskeletal disorders, 14(1), 1-10.</w:t>
      </w:r>
    </w:p>
  </w:endnote>
  <w:endnote w:id="16">
    <w:p w14:paraId="0A24A1D4" w14:textId="77777777" w:rsidR="00586DFF" w:rsidRPr="00C64B82" w:rsidRDefault="00586DFF" w:rsidP="00586DFF">
      <w:pPr>
        <w:pStyle w:val="EndnoteText"/>
        <w:rPr>
          <w:sz w:val="20"/>
        </w:rPr>
      </w:pPr>
      <w:r w:rsidRPr="00C64B82">
        <w:rPr>
          <w:rStyle w:val="EndnoteReference"/>
          <w:sz w:val="20"/>
        </w:rPr>
        <w:endnoteRef/>
      </w:r>
      <w:r w:rsidRPr="00C64B82">
        <w:rPr>
          <w:sz w:val="20"/>
        </w:rPr>
        <w:t xml:space="preserve"> </w:t>
      </w:r>
      <w:r w:rsidRPr="00C64B82">
        <w:rPr>
          <w:rFonts w:cs="Arial"/>
          <w:color w:val="222222"/>
          <w:sz w:val="20"/>
          <w:shd w:val="clear" w:color="auto" w:fill="FFFFFF"/>
        </w:rPr>
        <w:t>Macfarlane, G. J., Norrie, G., Atherton, K., Power, C., &amp; Jones, G. T. (2009). The influence of socioeconomic status on the reporting of regional and widespread musculoskeletal pain: results from the 1958 British Birth Cohort Study. </w:t>
      </w:r>
      <w:r w:rsidRPr="00C64B82">
        <w:rPr>
          <w:rFonts w:cs="Arial"/>
          <w:i/>
          <w:iCs/>
          <w:color w:val="222222"/>
          <w:sz w:val="20"/>
          <w:shd w:val="clear" w:color="auto" w:fill="FFFFFF"/>
        </w:rPr>
        <w:t>Annals of the rheumatic diseases</w:t>
      </w:r>
      <w:r w:rsidRPr="00C64B82">
        <w:rPr>
          <w:rFonts w:cs="Arial"/>
          <w:color w:val="222222"/>
          <w:sz w:val="20"/>
          <w:shd w:val="clear" w:color="auto" w:fill="FFFFFF"/>
        </w:rPr>
        <w:t>, </w:t>
      </w:r>
      <w:r w:rsidRPr="00C64B82">
        <w:rPr>
          <w:rFonts w:cs="Arial"/>
          <w:i/>
          <w:iCs/>
          <w:color w:val="222222"/>
          <w:sz w:val="20"/>
          <w:shd w:val="clear" w:color="auto" w:fill="FFFFFF"/>
        </w:rPr>
        <w:t>68</w:t>
      </w:r>
      <w:r w:rsidRPr="00C64B82">
        <w:rPr>
          <w:rFonts w:cs="Arial"/>
          <w:color w:val="222222"/>
          <w:sz w:val="20"/>
          <w:shd w:val="clear" w:color="auto" w:fill="FFFFFF"/>
        </w:rPr>
        <w:t>(10), 1591-1595.</w:t>
      </w:r>
    </w:p>
  </w:endnote>
  <w:endnote w:id="17">
    <w:p w14:paraId="16CA2BCD" w14:textId="45E365F3" w:rsidR="001D5AD7" w:rsidRPr="005E5DA9" w:rsidRDefault="001D5AD7">
      <w:pPr>
        <w:pStyle w:val="EndnoteText"/>
        <w:rPr>
          <w:sz w:val="20"/>
        </w:rPr>
      </w:pPr>
      <w:r w:rsidRPr="005E5DA9">
        <w:rPr>
          <w:rStyle w:val="EndnoteReference"/>
          <w:sz w:val="20"/>
        </w:rPr>
        <w:endnoteRef/>
      </w:r>
      <w:r w:rsidRPr="005E5DA9">
        <w:rPr>
          <w:sz w:val="20"/>
        </w:rPr>
        <w:t xml:space="preserve"> </w:t>
      </w:r>
      <w:r w:rsidR="00B45B29" w:rsidRPr="005E5DA9">
        <w:rPr>
          <w:sz w:val="20"/>
        </w:rPr>
        <w:t xml:space="preserve">Public Health England (2021). Public Health Profiles – Physical Activity. Available </w:t>
      </w:r>
      <w:hyperlink r:id="rId8" w:history="1">
        <w:r w:rsidR="00B45B29" w:rsidRPr="005E5DA9">
          <w:rPr>
            <w:rStyle w:val="Hyperlink"/>
            <w:sz w:val="20"/>
          </w:rPr>
          <w:t>https://fingertips.phe.org.uk</w:t>
        </w:r>
      </w:hyperlink>
      <w:r w:rsidR="00B45B29" w:rsidRPr="005E5DA9">
        <w:rPr>
          <w:sz w:val="20"/>
        </w:rPr>
        <w:t xml:space="preserve"> </w:t>
      </w:r>
    </w:p>
  </w:endnote>
  <w:endnote w:id="18">
    <w:p w14:paraId="2AB55836" w14:textId="285D8D9F" w:rsidR="009363A0" w:rsidRPr="00731556" w:rsidRDefault="009363A0">
      <w:pPr>
        <w:pStyle w:val="EndnoteText"/>
        <w:rPr>
          <w:sz w:val="20"/>
        </w:rPr>
      </w:pPr>
      <w:r w:rsidRPr="005E5DA9">
        <w:rPr>
          <w:rStyle w:val="EndnoteReference"/>
          <w:sz w:val="20"/>
        </w:rPr>
        <w:endnoteRef/>
      </w:r>
      <w:r w:rsidRPr="005E5DA9">
        <w:rPr>
          <w:sz w:val="20"/>
        </w:rPr>
        <w:t xml:space="preserve"> NHS Digital (2020).Statistics on Obesity, Physical Activity and Diet, England, 2020. Available: </w:t>
      </w:r>
      <w:hyperlink r:id="rId9" w:history="1">
        <w:r w:rsidRPr="00731556">
          <w:rPr>
            <w:rStyle w:val="Hyperlink"/>
            <w:sz w:val="20"/>
          </w:rPr>
          <w:t>https://digital.nhs.uk/data-and-information/publications/statistical/statistics-on-obesity-physical-activity-and-diet/england-2020/part-3-adult-obesity-copy</w:t>
        </w:r>
      </w:hyperlink>
      <w:r w:rsidRPr="00731556">
        <w:rPr>
          <w:sz w:val="20"/>
        </w:rPr>
        <w:t xml:space="preserve"> </w:t>
      </w:r>
    </w:p>
  </w:endnote>
  <w:endnote w:id="19">
    <w:p w14:paraId="09DD4DB6" w14:textId="77D07EBB" w:rsidR="00731556" w:rsidRPr="00731556" w:rsidRDefault="00731556">
      <w:pPr>
        <w:pStyle w:val="EndnoteText"/>
        <w:rPr>
          <w:sz w:val="20"/>
        </w:rPr>
      </w:pPr>
      <w:r w:rsidRPr="00731556">
        <w:rPr>
          <w:rStyle w:val="EndnoteReference"/>
          <w:sz w:val="20"/>
        </w:rPr>
        <w:endnoteRef/>
      </w:r>
      <w:r w:rsidRPr="00731556">
        <w:rPr>
          <w:sz w:val="20"/>
        </w:rPr>
        <w:t xml:space="preserve"> Versus Arthritis (2021). Chronic Pain in England: Unseen, Unequal, Unfair.</w:t>
      </w:r>
    </w:p>
  </w:endnote>
  <w:endnote w:id="20">
    <w:p w14:paraId="13CA6B89" w14:textId="3F6B206A" w:rsidR="005E2640" w:rsidRPr="006801E1" w:rsidRDefault="005E2640">
      <w:pPr>
        <w:pStyle w:val="EndnoteText"/>
        <w:rPr>
          <w:sz w:val="20"/>
        </w:rPr>
      </w:pPr>
      <w:r w:rsidRPr="00731556">
        <w:rPr>
          <w:rStyle w:val="EndnoteReference"/>
          <w:sz w:val="20"/>
        </w:rPr>
        <w:endnoteRef/>
      </w:r>
      <w:r w:rsidRPr="00731556">
        <w:rPr>
          <w:sz w:val="20"/>
        </w:rPr>
        <w:t xml:space="preserve"> </w:t>
      </w:r>
      <w:r w:rsidR="00170911" w:rsidRPr="00731556">
        <w:rPr>
          <w:sz w:val="20"/>
        </w:rPr>
        <w:t xml:space="preserve">Department for Business, Energy &amp; Industrial Strategy (2017). The Grand Challenge missions </w:t>
      </w:r>
      <w:hyperlink r:id="rId10" w:anchor="ageing-society" w:history="1">
        <w:r w:rsidR="00170911" w:rsidRPr="006801E1">
          <w:rPr>
            <w:rStyle w:val="Hyperlink"/>
            <w:sz w:val="20"/>
          </w:rPr>
          <w:t>https://www.gov.uk/government/publications/industrial-strategy-the-grand-challenges/missions#ageing-society</w:t>
        </w:r>
      </w:hyperlink>
      <w:r w:rsidRPr="006801E1">
        <w:rPr>
          <w:sz w:val="20"/>
        </w:rPr>
        <w:t xml:space="preserve"> </w:t>
      </w:r>
    </w:p>
  </w:endnote>
  <w:endnote w:id="21">
    <w:p w14:paraId="55D2C900" w14:textId="553BC6C2" w:rsidR="003B429E" w:rsidRPr="006801E1" w:rsidRDefault="003B429E" w:rsidP="006801E1">
      <w:pPr>
        <w:pStyle w:val="Heading1"/>
        <w:spacing w:before="0" w:after="0"/>
        <w:textAlignment w:val="baseline"/>
        <w:rPr>
          <w:rFonts w:eastAsia="Times New Roman"/>
          <w:b w:val="0"/>
          <w:color w:val="auto"/>
          <w:sz w:val="20"/>
          <w:szCs w:val="20"/>
          <w:lang w:eastAsia="en-GB"/>
        </w:rPr>
      </w:pPr>
      <w:r w:rsidRPr="006801E1">
        <w:rPr>
          <w:rStyle w:val="EndnoteReference"/>
          <w:b w:val="0"/>
          <w:color w:val="auto"/>
          <w:sz w:val="20"/>
          <w:szCs w:val="20"/>
        </w:rPr>
        <w:endnoteRef/>
      </w:r>
      <w:r w:rsidRPr="006801E1">
        <w:rPr>
          <w:b w:val="0"/>
          <w:color w:val="auto"/>
          <w:sz w:val="20"/>
          <w:szCs w:val="20"/>
        </w:rPr>
        <w:t xml:space="preserve"> Public Health England (2018). </w:t>
      </w:r>
      <w:r w:rsidR="006801E1" w:rsidRPr="006801E1">
        <w:rPr>
          <w:b w:val="0"/>
          <w:color w:val="auto"/>
          <w:sz w:val="20"/>
          <w:szCs w:val="20"/>
        </w:rPr>
        <w:t xml:space="preserve">Health profile for England: 2018. </w:t>
      </w:r>
      <w:r w:rsidR="006801E1">
        <w:rPr>
          <w:b w:val="0"/>
          <w:color w:val="auto"/>
          <w:sz w:val="20"/>
          <w:szCs w:val="20"/>
        </w:rPr>
        <w:t>C</w:t>
      </w:r>
      <w:r w:rsidRPr="006801E1">
        <w:rPr>
          <w:b w:val="0"/>
          <w:color w:val="auto"/>
          <w:sz w:val="20"/>
          <w:szCs w:val="20"/>
        </w:rPr>
        <w:t>hapter 1: population change and trends in life expectancy</w:t>
      </w:r>
      <w:r w:rsidR="006801E1" w:rsidRPr="006801E1">
        <w:rPr>
          <w:b w:val="0"/>
          <w:color w:val="auto"/>
          <w:sz w:val="20"/>
          <w:szCs w:val="20"/>
        </w:rPr>
        <w:t>. Available:</w:t>
      </w:r>
      <w:r w:rsidR="006801E1">
        <w:rPr>
          <w:b w:val="0"/>
          <w:color w:val="auto"/>
          <w:sz w:val="20"/>
          <w:szCs w:val="20"/>
        </w:rPr>
        <w:t xml:space="preserve"> </w:t>
      </w:r>
      <w:hyperlink r:id="rId11" w:history="1">
        <w:r w:rsidR="006801E1" w:rsidRPr="00C25FB3">
          <w:rPr>
            <w:rStyle w:val="Hyperlink"/>
            <w:b w:val="0"/>
            <w:sz w:val="20"/>
            <w:szCs w:val="20"/>
          </w:rPr>
          <w:t>https://www.gov.uk/government/publications/health-profile-for-england-2018</w:t>
        </w:r>
      </w:hyperlink>
      <w:r w:rsidR="006801E1" w:rsidRPr="006801E1">
        <w:rPr>
          <w:b w:val="0"/>
          <w:color w:val="auto"/>
          <w:sz w:val="20"/>
          <w:szCs w:val="20"/>
        </w:rPr>
        <w:t xml:space="preserve"> </w:t>
      </w:r>
    </w:p>
  </w:endnote>
  <w:endnote w:id="22">
    <w:p w14:paraId="2240B9E5" w14:textId="77777777" w:rsidR="00934198" w:rsidRPr="006801E1" w:rsidRDefault="00934198" w:rsidP="00934198">
      <w:pPr>
        <w:pStyle w:val="EndnoteText"/>
        <w:rPr>
          <w:sz w:val="20"/>
        </w:rPr>
      </w:pPr>
      <w:r w:rsidRPr="006801E1">
        <w:rPr>
          <w:rStyle w:val="EndnoteReference"/>
          <w:sz w:val="20"/>
        </w:rPr>
        <w:endnoteRef/>
      </w:r>
      <w:r w:rsidRPr="006801E1">
        <w:rPr>
          <w:sz w:val="20"/>
        </w:rPr>
        <w:t xml:space="preserve"> Arthritis Research UK, “The Musculoskeletal Calculator (prevalence data tool),” 2019.</w:t>
      </w:r>
    </w:p>
  </w:endnote>
  <w:endnote w:id="23">
    <w:p w14:paraId="28284429" w14:textId="77777777" w:rsidR="00934198" w:rsidRPr="006801E1" w:rsidRDefault="00934198" w:rsidP="00934198">
      <w:pPr>
        <w:pStyle w:val="EndnoteText"/>
        <w:rPr>
          <w:sz w:val="20"/>
        </w:rPr>
      </w:pPr>
      <w:r w:rsidRPr="006801E1">
        <w:rPr>
          <w:rStyle w:val="EndnoteReference"/>
          <w:sz w:val="20"/>
        </w:rPr>
        <w:endnoteRef/>
      </w:r>
      <w:r w:rsidRPr="006801E1">
        <w:rPr>
          <w:sz w:val="20"/>
        </w:rPr>
        <w:t xml:space="preserve"> S. Gabriel, C. Crowson and W. O'Fallon, “The epidemiology of rheumatoid arthritis in Rochester, Minnesota, 1955-1985,” Arthritis &amp; Rheumatism, vol. 42, no. 3, pp. 415-420, 1999.</w:t>
      </w:r>
    </w:p>
  </w:endnote>
  <w:endnote w:id="24">
    <w:p w14:paraId="2BCBABB1" w14:textId="77777777" w:rsidR="00934198" w:rsidRPr="006801E1" w:rsidRDefault="00934198" w:rsidP="00934198">
      <w:pPr>
        <w:pStyle w:val="EndnoteText"/>
        <w:rPr>
          <w:sz w:val="20"/>
        </w:rPr>
      </w:pPr>
      <w:r w:rsidRPr="006801E1">
        <w:rPr>
          <w:rStyle w:val="EndnoteReference"/>
          <w:sz w:val="20"/>
        </w:rPr>
        <w:endnoteRef/>
      </w:r>
      <w:r w:rsidRPr="006801E1">
        <w:rPr>
          <w:sz w:val="20"/>
        </w:rPr>
        <w:t xml:space="preserve"> National Audit Office (NAO), “Services for people with rheumatoid arthritis,” 2009.</w:t>
      </w:r>
    </w:p>
  </w:endnote>
  <w:endnote w:id="25">
    <w:p w14:paraId="3F867420" w14:textId="77777777" w:rsidR="00934198" w:rsidRPr="007028BF" w:rsidRDefault="00934198" w:rsidP="00934198">
      <w:pPr>
        <w:pStyle w:val="EndnoteText"/>
        <w:rPr>
          <w:sz w:val="20"/>
        </w:rPr>
      </w:pPr>
      <w:r w:rsidRPr="006801E1">
        <w:rPr>
          <w:rStyle w:val="EndnoteReference"/>
          <w:sz w:val="20"/>
        </w:rPr>
        <w:endnoteRef/>
      </w:r>
      <w:r w:rsidRPr="006801E1">
        <w:rPr>
          <w:sz w:val="20"/>
        </w:rPr>
        <w:t xml:space="preserve"> T. Riise, B. Jacobsen and J. Gran</w:t>
      </w:r>
      <w:r w:rsidRPr="00170911">
        <w:rPr>
          <w:sz w:val="20"/>
        </w:rPr>
        <w:t>, “Incidence and prevalence of rheumatoid arthritis in the county of Troms, northern Norway,” The Journal of Rheumatology</w:t>
      </w:r>
      <w:r w:rsidRPr="007028BF">
        <w:rPr>
          <w:sz w:val="20"/>
        </w:rPr>
        <w:t>, vol. 27, no. 6, pp. 1386-1389, 2000.</w:t>
      </w:r>
    </w:p>
  </w:endnote>
  <w:endnote w:id="26">
    <w:p w14:paraId="2421CCC3" w14:textId="77777777" w:rsidR="00934198" w:rsidRPr="007028BF" w:rsidRDefault="00934198" w:rsidP="00934198">
      <w:pPr>
        <w:pStyle w:val="EndnoteText"/>
        <w:rPr>
          <w:sz w:val="20"/>
        </w:rPr>
      </w:pPr>
      <w:r w:rsidRPr="00B830E2">
        <w:rPr>
          <w:rStyle w:val="EndnoteReference"/>
          <w:sz w:val="20"/>
        </w:rPr>
        <w:endnoteRef/>
      </w:r>
      <w:r w:rsidRPr="00B830E2">
        <w:rPr>
          <w:sz w:val="20"/>
        </w:rPr>
        <w:t xml:space="preserve"> Arthritis Research UK, “Osteoarthritis in General</w:t>
      </w:r>
      <w:r w:rsidRPr="007028BF">
        <w:rPr>
          <w:sz w:val="20"/>
        </w:rPr>
        <w:t xml:space="preserve"> Practice,” 2013.</w:t>
      </w:r>
    </w:p>
  </w:endnote>
  <w:endnote w:id="27">
    <w:p w14:paraId="3FB92636" w14:textId="77777777" w:rsidR="00934198" w:rsidRPr="007028BF" w:rsidRDefault="00934198" w:rsidP="00934198">
      <w:pPr>
        <w:pStyle w:val="EndnoteText"/>
        <w:rPr>
          <w:sz w:val="20"/>
        </w:rPr>
      </w:pPr>
      <w:r w:rsidRPr="007028BF">
        <w:rPr>
          <w:rStyle w:val="EndnoteReference"/>
          <w:sz w:val="20"/>
        </w:rPr>
        <w:endnoteRef/>
      </w:r>
      <w:r w:rsidRPr="007028BF">
        <w:rPr>
          <w:sz w:val="20"/>
        </w:rPr>
        <w:t xml:space="preserve"> National Institute for Health and Care Excellence (NICE), “Osteoarthritis: care and management-Clinical guideline [CG177],” [Online]. Available: </w:t>
      </w:r>
      <w:hyperlink r:id="rId12" w:history="1">
        <w:r w:rsidRPr="007028BF">
          <w:rPr>
            <w:rStyle w:val="Hyperlink"/>
            <w:sz w:val="20"/>
          </w:rPr>
          <w:t>https://www.nice.org.uk/guidance/cg177</w:t>
        </w:r>
      </w:hyperlink>
      <w:r w:rsidRPr="007028BF">
        <w:rPr>
          <w:sz w:val="20"/>
        </w:rPr>
        <w:t xml:space="preserve"> </w:t>
      </w:r>
    </w:p>
  </w:endnote>
  <w:endnote w:id="28">
    <w:p w14:paraId="3CFBC97F" w14:textId="77777777" w:rsidR="00934198" w:rsidRPr="007028BF" w:rsidRDefault="00934198" w:rsidP="00934198">
      <w:pPr>
        <w:pStyle w:val="EndnoteText"/>
        <w:rPr>
          <w:sz w:val="20"/>
        </w:rPr>
      </w:pPr>
      <w:r w:rsidRPr="007028BF">
        <w:rPr>
          <w:rStyle w:val="EndnoteReference"/>
          <w:sz w:val="20"/>
        </w:rPr>
        <w:endnoteRef/>
      </w:r>
      <w:r w:rsidRPr="007028BF">
        <w:rPr>
          <w:sz w:val="20"/>
        </w:rPr>
        <w:t xml:space="preserve"> National Joint Registry (NJR), “17th Annual Report 2020. National Joint Registry for England, Wales, Northern IReland, and the Isle of Man,” 2020.</w:t>
      </w:r>
    </w:p>
  </w:endnote>
  <w:endnote w:id="29">
    <w:p w14:paraId="226DEBD9" w14:textId="77777777" w:rsidR="00934198" w:rsidRPr="007028BF" w:rsidRDefault="00934198" w:rsidP="00934198">
      <w:pPr>
        <w:pStyle w:val="EndnoteText"/>
        <w:rPr>
          <w:sz w:val="20"/>
        </w:rPr>
      </w:pPr>
      <w:r w:rsidRPr="007028BF">
        <w:rPr>
          <w:rStyle w:val="EndnoteReference"/>
          <w:sz w:val="20"/>
        </w:rPr>
        <w:endnoteRef/>
      </w:r>
      <w:r w:rsidRPr="007028BF">
        <w:rPr>
          <w:sz w:val="20"/>
        </w:rPr>
        <w:t xml:space="preserve"> National Services Scotland, “Scottish Arthroplasty Project Report 2020 Dashboard,” 2020. [Online]. Available: </w:t>
      </w:r>
      <w:hyperlink r:id="rId13" w:history="1">
        <w:r w:rsidRPr="007028BF">
          <w:rPr>
            <w:rStyle w:val="Hyperlink"/>
            <w:sz w:val="20"/>
          </w:rPr>
          <w:t>https://www.arthro.scot.nhs.uk/Reports/Dashboard-2020.html</w:t>
        </w:r>
      </w:hyperlink>
      <w:r w:rsidRPr="007028BF">
        <w:rPr>
          <w:sz w:val="20"/>
        </w:rPr>
        <w:t xml:space="preserve">. </w:t>
      </w:r>
    </w:p>
  </w:endnote>
  <w:endnote w:id="30">
    <w:p w14:paraId="55641BA9" w14:textId="1C531A15" w:rsidR="005237FA" w:rsidRDefault="005237FA">
      <w:pPr>
        <w:pStyle w:val="EndnoteText"/>
      </w:pPr>
      <w:r w:rsidRPr="005237FA">
        <w:rPr>
          <w:rStyle w:val="EndnoteReference"/>
          <w:sz w:val="22"/>
          <w:szCs w:val="22"/>
        </w:rPr>
        <w:endnoteRef/>
      </w:r>
      <w:r w:rsidRPr="005237FA">
        <w:rPr>
          <w:sz w:val="22"/>
          <w:szCs w:val="22"/>
        </w:rPr>
        <w:t xml:space="preserve"> </w:t>
      </w:r>
      <w:r w:rsidRPr="005237FA">
        <w:rPr>
          <w:rFonts w:cs="Arial"/>
          <w:color w:val="222222"/>
          <w:sz w:val="22"/>
          <w:szCs w:val="22"/>
          <w:shd w:val="clear" w:color="auto" w:fill="FFFFFF"/>
        </w:rPr>
        <w:t>Bailey, A. (2009). Risk factors for low back pain in women: still more questions to be answered. </w:t>
      </w:r>
      <w:r w:rsidRPr="005237FA">
        <w:rPr>
          <w:rFonts w:cs="Arial"/>
          <w:i/>
          <w:iCs/>
          <w:color w:val="222222"/>
          <w:sz w:val="22"/>
          <w:szCs w:val="22"/>
          <w:shd w:val="clear" w:color="auto" w:fill="FFFFFF"/>
        </w:rPr>
        <w:t>Menopause</w:t>
      </w:r>
      <w:r w:rsidRPr="005237FA">
        <w:rPr>
          <w:rFonts w:cs="Arial"/>
          <w:color w:val="222222"/>
          <w:sz w:val="22"/>
          <w:szCs w:val="22"/>
          <w:shd w:val="clear" w:color="auto" w:fill="FFFFFF"/>
        </w:rPr>
        <w:t>, </w:t>
      </w:r>
      <w:r w:rsidRPr="005237FA">
        <w:rPr>
          <w:rFonts w:cs="Arial"/>
          <w:i/>
          <w:iCs/>
          <w:color w:val="222222"/>
          <w:sz w:val="22"/>
          <w:szCs w:val="22"/>
          <w:shd w:val="clear" w:color="auto" w:fill="FFFFFF"/>
        </w:rPr>
        <w:t>16</w:t>
      </w:r>
      <w:r w:rsidRPr="005237FA">
        <w:rPr>
          <w:rFonts w:cs="Arial"/>
          <w:color w:val="222222"/>
          <w:sz w:val="22"/>
          <w:szCs w:val="22"/>
          <w:shd w:val="clear" w:color="auto" w:fill="FFFFFF"/>
        </w:rPr>
        <w:t>(1), 3-4.</w:t>
      </w:r>
    </w:p>
  </w:endnote>
  <w:endnote w:id="31">
    <w:p w14:paraId="6DFDAE15" w14:textId="77777777" w:rsidR="00934198" w:rsidRPr="003E3FE6" w:rsidRDefault="00934198" w:rsidP="00934198">
      <w:pPr>
        <w:pStyle w:val="EndnoteText"/>
        <w:rPr>
          <w:sz w:val="20"/>
        </w:rPr>
      </w:pPr>
      <w:r w:rsidRPr="007028BF">
        <w:rPr>
          <w:rStyle w:val="EndnoteReference"/>
          <w:sz w:val="20"/>
        </w:rPr>
        <w:endnoteRef/>
      </w:r>
      <w:r w:rsidRPr="007028BF">
        <w:rPr>
          <w:sz w:val="20"/>
        </w:rPr>
        <w:t xml:space="preserve"> Y. Wáng, J. Wáng and Z. Káplár, “Increased low back pain prevalence in females than in males after menopause age: evidences based on synthetic literature review,” Quantitative imaging in medicine and </w:t>
      </w:r>
      <w:r w:rsidRPr="003E3FE6">
        <w:rPr>
          <w:sz w:val="20"/>
        </w:rPr>
        <w:t>surgery, vol. 6, no. 2, pp. 199-206, 2016.</w:t>
      </w:r>
    </w:p>
  </w:endnote>
  <w:endnote w:id="32">
    <w:p w14:paraId="16DEA39F" w14:textId="5FD5026A" w:rsidR="003E3FE6" w:rsidRPr="00C854F2" w:rsidRDefault="003E3FE6">
      <w:pPr>
        <w:pStyle w:val="EndnoteText"/>
        <w:rPr>
          <w:sz w:val="20"/>
        </w:rPr>
      </w:pPr>
      <w:r w:rsidRPr="003E3FE6">
        <w:rPr>
          <w:rStyle w:val="EndnoteReference"/>
          <w:sz w:val="20"/>
        </w:rPr>
        <w:endnoteRef/>
      </w:r>
      <w:r w:rsidRPr="003E3FE6">
        <w:rPr>
          <w:sz w:val="20"/>
        </w:rPr>
        <w:t xml:space="preserve"> </w:t>
      </w:r>
      <w:r w:rsidRPr="003E3FE6">
        <w:rPr>
          <w:rFonts w:cs="Arial"/>
          <w:sz w:val="20"/>
          <w:shd w:val="clear" w:color="auto" w:fill="FFFFFF"/>
        </w:rPr>
        <w:t>Chenot, J. F., Becker, A., Leonhardt, C., Keller, S., Donner-Banzhoff, N., Hildebrandt, J., ... &amp; Pfingsten, M. (2008). Sex differences in presentation, course, and management of low back pain in primary care. </w:t>
      </w:r>
      <w:r w:rsidRPr="003E3FE6">
        <w:rPr>
          <w:rFonts w:cs="Arial"/>
          <w:i/>
          <w:iCs/>
          <w:sz w:val="20"/>
          <w:shd w:val="clear" w:color="auto" w:fill="FFFFFF"/>
        </w:rPr>
        <w:t xml:space="preserve">The </w:t>
      </w:r>
      <w:r w:rsidRPr="00C854F2">
        <w:rPr>
          <w:rFonts w:cs="Arial"/>
          <w:i/>
          <w:iCs/>
          <w:sz w:val="20"/>
          <w:shd w:val="clear" w:color="auto" w:fill="FFFFFF"/>
        </w:rPr>
        <w:t>Clinical journal of pain</w:t>
      </w:r>
      <w:r w:rsidRPr="00C854F2">
        <w:rPr>
          <w:rFonts w:cs="Arial"/>
          <w:sz w:val="20"/>
          <w:shd w:val="clear" w:color="auto" w:fill="FFFFFF"/>
        </w:rPr>
        <w:t>, </w:t>
      </w:r>
      <w:r w:rsidRPr="00C854F2">
        <w:rPr>
          <w:rFonts w:cs="Arial"/>
          <w:i/>
          <w:iCs/>
          <w:sz w:val="20"/>
          <w:shd w:val="clear" w:color="auto" w:fill="FFFFFF"/>
        </w:rPr>
        <w:t>24</w:t>
      </w:r>
      <w:r w:rsidRPr="00C854F2">
        <w:rPr>
          <w:rFonts w:cs="Arial"/>
          <w:sz w:val="20"/>
          <w:shd w:val="clear" w:color="auto" w:fill="FFFFFF"/>
        </w:rPr>
        <w:t>(7), 578-584.</w:t>
      </w:r>
    </w:p>
  </w:endnote>
  <w:endnote w:id="33">
    <w:p w14:paraId="380C5C0F" w14:textId="77777777" w:rsidR="00934198" w:rsidRPr="00AB0D25" w:rsidRDefault="00934198" w:rsidP="00934198">
      <w:pPr>
        <w:pStyle w:val="EndnoteText"/>
        <w:rPr>
          <w:sz w:val="20"/>
        </w:rPr>
      </w:pPr>
      <w:r w:rsidRPr="007028BF">
        <w:rPr>
          <w:rStyle w:val="EndnoteReference"/>
          <w:sz w:val="20"/>
        </w:rPr>
        <w:endnoteRef/>
      </w:r>
      <w:r w:rsidRPr="007028BF">
        <w:rPr>
          <w:sz w:val="20"/>
        </w:rPr>
        <w:t xml:space="preserve"> G. Jones, F. Atzeni, M. Beasley, E. Flüß, P. Sarzi-Puttini and G. Macfarlane, “The prevalence of </w:t>
      </w:r>
      <w:r w:rsidRPr="00AB0D25">
        <w:rPr>
          <w:sz w:val="20"/>
        </w:rPr>
        <w:t>fibromyalgia in the general population: a comparison of the American College of Rheumatology 1990, 2010, and modified 2010 classification criteria,” Arthritis &amp; Rheumatology, vol. 67, no. 2, pp. 568-675, 2015.</w:t>
      </w:r>
    </w:p>
  </w:endnote>
  <w:endnote w:id="34">
    <w:p w14:paraId="4D346BD0" w14:textId="77777777" w:rsidR="00934198" w:rsidRPr="00173EB1" w:rsidRDefault="00934198" w:rsidP="00934198">
      <w:pPr>
        <w:pStyle w:val="EndnoteText"/>
        <w:rPr>
          <w:sz w:val="20"/>
        </w:rPr>
      </w:pPr>
      <w:r w:rsidRPr="00173EB1">
        <w:rPr>
          <w:rStyle w:val="EndnoteReference"/>
          <w:sz w:val="20"/>
        </w:rPr>
        <w:endnoteRef/>
      </w:r>
      <w:r w:rsidRPr="00173EB1">
        <w:rPr>
          <w:sz w:val="20"/>
        </w:rPr>
        <w:t xml:space="preserve"> G. Jones, F. Atzeni, M. Beasley, E. Flüß, P. Sarzi-Puttini and G. Macfarlane, “The prevalence of fibromyalgia in the general population: a comparison of the American College of Rheumatology 1990, 2010, and modified 2010 classification criteria,” Arthritis &amp; Rheumatology, vol. 67, no. 2, pp. 568-675, 2015.</w:t>
      </w:r>
    </w:p>
  </w:endnote>
  <w:endnote w:id="35">
    <w:p w14:paraId="6F18E586" w14:textId="77777777" w:rsidR="00934198" w:rsidRPr="0041628E" w:rsidRDefault="00934198" w:rsidP="00934198">
      <w:pPr>
        <w:pStyle w:val="EndnoteText"/>
        <w:rPr>
          <w:sz w:val="20"/>
        </w:rPr>
      </w:pPr>
      <w:r w:rsidRPr="00173EB1">
        <w:rPr>
          <w:rStyle w:val="EndnoteReference"/>
          <w:sz w:val="20"/>
        </w:rPr>
        <w:endnoteRef/>
      </w:r>
      <w:r w:rsidRPr="00173EB1">
        <w:rPr>
          <w:sz w:val="20"/>
        </w:rPr>
        <w:t xml:space="preserve"> Yunus, Muhammad B. "The role of gender in fibromyalgia syndrome." Current Rheumatology Reports 3.2 (</w:t>
      </w:r>
      <w:r w:rsidRPr="0041628E">
        <w:rPr>
          <w:sz w:val="20"/>
        </w:rPr>
        <w:t>2001): 128-134.</w:t>
      </w:r>
    </w:p>
  </w:endnote>
  <w:endnote w:id="36">
    <w:p w14:paraId="292A3327" w14:textId="77777777" w:rsidR="00934198" w:rsidRPr="00AB0D25" w:rsidRDefault="00934198" w:rsidP="00934198">
      <w:pPr>
        <w:pStyle w:val="EndnoteText"/>
        <w:rPr>
          <w:sz w:val="20"/>
        </w:rPr>
      </w:pPr>
      <w:r w:rsidRPr="00AB0D25">
        <w:rPr>
          <w:rStyle w:val="EndnoteReference"/>
          <w:sz w:val="20"/>
        </w:rPr>
        <w:endnoteRef/>
      </w:r>
      <w:r w:rsidRPr="00AB0D25">
        <w:rPr>
          <w:sz w:val="20"/>
        </w:rPr>
        <w:t xml:space="preserve"> National Institute for Clinical Excellence (NICE), “NICE impact falls and fragility fractures,” NICE, London, 2018.</w:t>
      </w:r>
    </w:p>
  </w:endnote>
  <w:endnote w:id="37">
    <w:p w14:paraId="52F9212E" w14:textId="5BF10AB9" w:rsidR="00934198" w:rsidRPr="008E2DE3" w:rsidRDefault="00934198" w:rsidP="00934198">
      <w:pPr>
        <w:pStyle w:val="EndnoteText"/>
        <w:rPr>
          <w:sz w:val="20"/>
        </w:rPr>
      </w:pPr>
      <w:r w:rsidRPr="00AB0D25">
        <w:rPr>
          <w:rStyle w:val="EndnoteReference"/>
          <w:sz w:val="20"/>
        </w:rPr>
        <w:endnoteRef/>
      </w:r>
      <w:r w:rsidRPr="00AB0D25">
        <w:rPr>
          <w:sz w:val="20"/>
        </w:rPr>
        <w:t xml:space="preserve"> E. A. Kanis JA</w:t>
      </w:r>
      <w:r w:rsidR="0098144B">
        <w:rPr>
          <w:sz w:val="20"/>
        </w:rPr>
        <w:t xml:space="preserve"> (2004).</w:t>
      </w:r>
      <w:r w:rsidRPr="00AB0D25">
        <w:rPr>
          <w:sz w:val="20"/>
        </w:rPr>
        <w:t xml:space="preserve"> A familiy history of fracture and fracture risk: a meta–analysis</w:t>
      </w:r>
      <w:r w:rsidR="0098144B">
        <w:rPr>
          <w:sz w:val="20"/>
        </w:rPr>
        <w:t>.</w:t>
      </w:r>
      <w:r w:rsidRPr="00AB0D25">
        <w:rPr>
          <w:sz w:val="20"/>
        </w:rPr>
        <w:t xml:space="preserve"> Bone, vol. 35, pp. </w:t>
      </w:r>
      <w:r w:rsidRPr="00B64CB5">
        <w:rPr>
          <w:sz w:val="20"/>
        </w:rPr>
        <w:t>10029-</w:t>
      </w:r>
      <w:r w:rsidRPr="008E2DE3">
        <w:rPr>
          <w:sz w:val="20"/>
        </w:rPr>
        <w:t>1037</w:t>
      </w:r>
      <w:r w:rsidR="0098144B">
        <w:rPr>
          <w:sz w:val="20"/>
        </w:rPr>
        <w:t xml:space="preserve">. </w:t>
      </w:r>
    </w:p>
  </w:endnote>
  <w:endnote w:id="38">
    <w:p w14:paraId="58A67D27" w14:textId="6EC7679F" w:rsidR="00812529" w:rsidRPr="00512E98" w:rsidRDefault="00812529" w:rsidP="00812529">
      <w:pPr>
        <w:pStyle w:val="EndnoteText"/>
        <w:rPr>
          <w:sz w:val="20"/>
        </w:rPr>
      </w:pPr>
      <w:r w:rsidRPr="008A2523">
        <w:rPr>
          <w:rStyle w:val="EndnoteReference"/>
          <w:sz w:val="20"/>
        </w:rPr>
        <w:endnoteRef/>
      </w:r>
      <w:r w:rsidRPr="008A2523">
        <w:rPr>
          <w:sz w:val="20"/>
        </w:rPr>
        <w:t xml:space="preserve"> Gerdle, B. et al. (2008). Prevalence of</w:t>
      </w:r>
      <w:r w:rsidR="008A2523">
        <w:rPr>
          <w:sz w:val="20"/>
        </w:rPr>
        <w:t xml:space="preserve"> </w:t>
      </w:r>
      <w:r w:rsidRPr="008A2523">
        <w:rPr>
          <w:sz w:val="20"/>
        </w:rPr>
        <w:t>widespread pain and associations with</w:t>
      </w:r>
      <w:r w:rsidR="008A2523">
        <w:rPr>
          <w:sz w:val="20"/>
        </w:rPr>
        <w:t xml:space="preserve"> </w:t>
      </w:r>
      <w:r w:rsidRPr="008A2523">
        <w:rPr>
          <w:sz w:val="20"/>
        </w:rPr>
        <w:t xml:space="preserve">work status: a population </w:t>
      </w:r>
      <w:r w:rsidRPr="00512E98">
        <w:rPr>
          <w:sz w:val="20"/>
        </w:rPr>
        <w:t>study. BMC</w:t>
      </w:r>
      <w:r w:rsidR="008A2523" w:rsidRPr="00512E98">
        <w:rPr>
          <w:sz w:val="20"/>
        </w:rPr>
        <w:t xml:space="preserve"> </w:t>
      </w:r>
      <w:r w:rsidRPr="00512E98">
        <w:rPr>
          <w:sz w:val="20"/>
        </w:rPr>
        <w:t>Musculoskeletal Disorders, 9(102).</w:t>
      </w:r>
    </w:p>
  </w:endnote>
  <w:endnote w:id="39">
    <w:p w14:paraId="7EF9F644" w14:textId="36853807" w:rsidR="00512E98" w:rsidRPr="00AF3145" w:rsidRDefault="00512E98">
      <w:pPr>
        <w:pStyle w:val="EndnoteText"/>
        <w:rPr>
          <w:sz w:val="20"/>
        </w:rPr>
      </w:pPr>
      <w:r w:rsidRPr="00512E98">
        <w:rPr>
          <w:rStyle w:val="EndnoteReference"/>
          <w:sz w:val="20"/>
        </w:rPr>
        <w:endnoteRef/>
      </w:r>
      <w:r w:rsidRPr="00512E98">
        <w:rPr>
          <w:sz w:val="20"/>
        </w:rPr>
        <w:t xml:space="preserve"> Bartley, E. J. and Fillingim, R. B. (2013). Sex differences in pain: a brief review of clinical and experimental </w:t>
      </w:r>
      <w:r w:rsidRPr="00AF3145">
        <w:rPr>
          <w:sz w:val="20"/>
        </w:rPr>
        <w:t>findings. British Journal of Anaesthetics, 111(1), pp. 52-58.</w:t>
      </w:r>
    </w:p>
  </w:endnote>
  <w:endnote w:id="40">
    <w:p w14:paraId="1636B3B0" w14:textId="053F7217" w:rsidR="00AF3145" w:rsidRPr="00607B25" w:rsidRDefault="00AF3145">
      <w:pPr>
        <w:pStyle w:val="EndnoteText"/>
        <w:rPr>
          <w:sz w:val="20"/>
        </w:rPr>
      </w:pPr>
      <w:r w:rsidRPr="00AF3145">
        <w:rPr>
          <w:rStyle w:val="EndnoteReference"/>
          <w:sz w:val="20"/>
        </w:rPr>
        <w:endnoteRef/>
      </w:r>
      <w:r w:rsidRPr="00AF3145">
        <w:rPr>
          <w:sz w:val="20"/>
        </w:rPr>
        <w:t xml:space="preserve"> </w:t>
      </w:r>
      <w:r w:rsidRPr="00AF3145">
        <w:rPr>
          <w:rFonts w:cs="Arial"/>
          <w:color w:val="222222"/>
          <w:sz w:val="20"/>
          <w:shd w:val="clear" w:color="auto" w:fill="FFFFFF"/>
        </w:rPr>
        <w:t xml:space="preserve">Vachon-Presseau, E., Roy, M., Martel, M. O., Caron, E., Marin, M. F., Chen, J. &amp; Rainville, P. (2013). The stress model of chronic pain: evidence from basal cortisol and hippocampal structure and function in </w:t>
      </w:r>
      <w:r w:rsidRPr="00607B25">
        <w:rPr>
          <w:rFonts w:cs="Arial"/>
          <w:color w:val="222222"/>
          <w:sz w:val="20"/>
          <w:shd w:val="clear" w:color="auto" w:fill="FFFFFF"/>
        </w:rPr>
        <w:t>humans. </w:t>
      </w:r>
      <w:r w:rsidRPr="00607B25">
        <w:rPr>
          <w:rFonts w:cs="Arial"/>
          <w:i/>
          <w:iCs/>
          <w:color w:val="222222"/>
          <w:sz w:val="20"/>
          <w:shd w:val="clear" w:color="auto" w:fill="FFFFFF"/>
        </w:rPr>
        <w:t>Brain</w:t>
      </w:r>
      <w:r w:rsidRPr="00607B25">
        <w:rPr>
          <w:rFonts w:cs="Arial"/>
          <w:color w:val="222222"/>
          <w:sz w:val="20"/>
          <w:shd w:val="clear" w:color="auto" w:fill="FFFFFF"/>
        </w:rPr>
        <w:t>, </w:t>
      </w:r>
      <w:r w:rsidRPr="00607B25">
        <w:rPr>
          <w:rFonts w:cs="Arial"/>
          <w:i/>
          <w:iCs/>
          <w:color w:val="222222"/>
          <w:sz w:val="20"/>
          <w:shd w:val="clear" w:color="auto" w:fill="FFFFFF"/>
        </w:rPr>
        <w:t>136</w:t>
      </w:r>
      <w:r w:rsidRPr="00607B25">
        <w:rPr>
          <w:rFonts w:cs="Arial"/>
          <w:color w:val="222222"/>
          <w:sz w:val="20"/>
          <w:shd w:val="clear" w:color="auto" w:fill="FFFFFF"/>
        </w:rPr>
        <w:t>(3), 815-827.</w:t>
      </w:r>
    </w:p>
  </w:endnote>
  <w:endnote w:id="41">
    <w:p w14:paraId="3ECCBE51" w14:textId="0D6D4C12" w:rsidR="00607B25" w:rsidRDefault="00607B25">
      <w:pPr>
        <w:pStyle w:val="EndnoteText"/>
      </w:pPr>
      <w:r w:rsidRPr="00607B25">
        <w:rPr>
          <w:rStyle w:val="EndnoteReference"/>
          <w:sz w:val="20"/>
        </w:rPr>
        <w:endnoteRef/>
      </w:r>
      <w:r w:rsidRPr="00607B25">
        <w:rPr>
          <w:sz w:val="20"/>
        </w:rPr>
        <w:t xml:space="preserve"> </w:t>
      </w:r>
      <w:r w:rsidRPr="00607B25">
        <w:rPr>
          <w:rFonts w:cs="Arial"/>
          <w:color w:val="222222"/>
          <w:sz w:val="20"/>
          <w:shd w:val="clear" w:color="auto" w:fill="FFFFFF"/>
        </w:rPr>
        <w:t>Generaal, E., Vogelzangs, N., Macfarlane, G. J., Geenen, R., Smit, J. H., De Geus, E. J., ... &amp; Dekker, J. (2016). Biological stress systems, adverse life events and the onset of chronic multisite musculoskeletal pain: a 6-year cohort study. </w:t>
      </w:r>
      <w:r w:rsidRPr="00607B25">
        <w:rPr>
          <w:rFonts w:cs="Arial"/>
          <w:i/>
          <w:iCs/>
          <w:color w:val="222222"/>
          <w:sz w:val="20"/>
          <w:shd w:val="clear" w:color="auto" w:fill="FFFFFF"/>
        </w:rPr>
        <w:t>Annals of the Rheumatic Diseases</w:t>
      </w:r>
      <w:r w:rsidRPr="00607B25">
        <w:rPr>
          <w:rFonts w:cs="Arial"/>
          <w:color w:val="222222"/>
          <w:sz w:val="20"/>
          <w:shd w:val="clear" w:color="auto" w:fill="FFFFFF"/>
        </w:rPr>
        <w:t>, </w:t>
      </w:r>
      <w:r w:rsidRPr="00607B25">
        <w:rPr>
          <w:rFonts w:cs="Arial"/>
          <w:i/>
          <w:iCs/>
          <w:color w:val="222222"/>
          <w:sz w:val="20"/>
          <w:shd w:val="clear" w:color="auto" w:fill="FFFFFF"/>
        </w:rPr>
        <w:t>75</w:t>
      </w:r>
      <w:r w:rsidRPr="00607B25">
        <w:rPr>
          <w:rFonts w:cs="Arial"/>
          <w:color w:val="222222"/>
          <w:sz w:val="20"/>
          <w:shd w:val="clear" w:color="auto" w:fill="FFFFFF"/>
        </w:rPr>
        <w:t>(5), 847-854.</w:t>
      </w:r>
    </w:p>
  </w:endnote>
  <w:endnote w:id="42">
    <w:p w14:paraId="2A8B841F" w14:textId="77777777" w:rsidR="00934198" w:rsidRPr="007028BF" w:rsidRDefault="00934198" w:rsidP="00934198">
      <w:pPr>
        <w:pStyle w:val="EndnoteText"/>
        <w:rPr>
          <w:sz w:val="20"/>
        </w:rPr>
      </w:pPr>
      <w:r w:rsidRPr="007028BF">
        <w:rPr>
          <w:rStyle w:val="EndnoteReference"/>
          <w:sz w:val="20"/>
        </w:rPr>
        <w:endnoteRef/>
      </w:r>
      <w:r w:rsidRPr="007028BF">
        <w:rPr>
          <w:sz w:val="20"/>
        </w:rPr>
        <w:t xml:space="preserve"> UK Health Research Analysis 2018 (UK Clinical Research Collaboration , 2020) ISBN 978-0-903730-29-7</w:t>
      </w:r>
    </w:p>
  </w:endnote>
  <w:endnote w:id="43">
    <w:p w14:paraId="45586B75" w14:textId="77777777" w:rsidR="00934198" w:rsidRPr="007028BF" w:rsidRDefault="00934198" w:rsidP="00934198">
      <w:pPr>
        <w:pStyle w:val="EndnoteText"/>
        <w:rPr>
          <w:sz w:val="20"/>
        </w:rPr>
      </w:pPr>
      <w:r w:rsidRPr="007028BF">
        <w:rPr>
          <w:rStyle w:val="EndnoteReference"/>
          <w:sz w:val="20"/>
        </w:rPr>
        <w:endnoteRef/>
      </w:r>
      <w:r w:rsidRPr="007028BF">
        <w:rPr>
          <w:sz w:val="20"/>
        </w:rPr>
        <w:t xml:space="preserve"> Trends in Arthritis and Related Conditions Research: The Past, Present and How to Influence the Future. Tammy Cheng, Versus Arthritis. Available </w:t>
      </w:r>
      <w:hyperlink r:id="rId14" w:history="1">
        <w:r w:rsidRPr="007028BF">
          <w:rPr>
            <w:rStyle w:val="Hyperlink"/>
            <w:sz w:val="20"/>
          </w:rPr>
          <w:t>https://www.versusarthritis.org/media/22701/arthritis-research-trends-key-messages-2020.pdf</w:t>
        </w:r>
      </w:hyperlink>
      <w:r w:rsidRPr="007028BF">
        <w:rPr>
          <w:sz w:val="20"/>
        </w:rPr>
        <w:t xml:space="preserve"> </w:t>
      </w:r>
    </w:p>
  </w:endnote>
  <w:endnote w:id="44">
    <w:p w14:paraId="6C1F4B4E" w14:textId="77777777" w:rsidR="00934198" w:rsidRPr="007028BF" w:rsidRDefault="00934198" w:rsidP="00934198">
      <w:pPr>
        <w:pStyle w:val="EndnoteText"/>
        <w:rPr>
          <w:sz w:val="20"/>
        </w:rPr>
      </w:pPr>
      <w:r w:rsidRPr="007028BF">
        <w:rPr>
          <w:rStyle w:val="EndnoteReference"/>
          <w:sz w:val="20"/>
        </w:rPr>
        <w:endnoteRef/>
      </w:r>
      <w:r w:rsidRPr="007028BF">
        <w:rPr>
          <w:sz w:val="20"/>
        </w:rPr>
        <w:t xml:space="preserve"> Mirin AA. Gender Disparity in the Funding of Diseases by the U.S. National Institutes of Health. J Womens Health (Larchmt). 2020 Nov 27. doi: 10.1089/jwh.2020.8682. Epub ahead of print. PMID: 33232627. </w:t>
      </w:r>
    </w:p>
  </w:endnote>
  <w:endnote w:id="45">
    <w:p w14:paraId="66775B79" w14:textId="02E8AB44" w:rsidR="00250964" w:rsidRPr="00B64CB5" w:rsidRDefault="00250964" w:rsidP="00250964">
      <w:pPr>
        <w:pStyle w:val="EndnoteText"/>
        <w:rPr>
          <w:sz w:val="20"/>
        </w:rPr>
      </w:pPr>
      <w:r w:rsidRPr="00B64CB5">
        <w:rPr>
          <w:rStyle w:val="EndnoteReference"/>
          <w:sz w:val="20"/>
        </w:rPr>
        <w:endnoteRef/>
      </w:r>
      <w:r w:rsidRPr="00B64CB5">
        <w:rPr>
          <w:sz w:val="20"/>
        </w:rPr>
        <w:t xml:space="preserve"> </w:t>
      </w:r>
      <w:r w:rsidR="00B76903" w:rsidRPr="00B64CB5">
        <w:rPr>
          <w:sz w:val="20"/>
        </w:rPr>
        <w:t xml:space="preserve">Department of Work and Pensions (2020). </w:t>
      </w:r>
      <w:r w:rsidRPr="00B64CB5">
        <w:rPr>
          <w:sz w:val="20"/>
        </w:rPr>
        <w:t>The employment of disabled people</w:t>
      </w:r>
      <w:r w:rsidR="00B76903" w:rsidRPr="00B64CB5">
        <w:rPr>
          <w:sz w:val="20"/>
        </w:rPr>
        <w:t xml:space="preserve"> – Data to</w:t>
      </w:r>
      <w:r w:rsidRPr="00B64CB5">
        <w:rPr>
          <w:sz w:val="20"/>
        </w:rPr>
        <w:t xml:space="preserve"> 2019</w:t>
      </w:r>
      <w:r w:rsidR="00B76903" w:rsidRPr="00B64CB5">
        <w:rPr>
          <w:sz w:val="20"/>
        </w:rPr>
        <w:t xml:space="preserve">. Available </w:t>
      </w:r>
      <w:hyperlink r:id="rId15" w:history="1">
        <w:r w:rsidR="00B76903" w:rsidRPr="00B64CB5">
          <w:rPr>
            <w:rStyle w:val="Hyperlink"/>
            <w:sz w:val="20"/>
          </w:rPr>
          <w:t>https://assets.publishing.service.gov.uk/government/uploads/system/uploads/attachment_data/file/875199/employment-of-disabled-people-2019.pdf</w:t>
        </w:r>
      </w:hyperlink>
      <w:r w:rsidR="00B76903" w:rsidRPr="00B64CB5">
        <w:rPr>
          <w:sz w:val="20"/>
        </w:rPr>
        <w:t xml:space="preserve"> </w:t>
      </w:r>
    </w:p>
  </w:endnote>
  <w:endnote w:id="46">
    <w:p w14:paraId="0BFD2852" w14:textId="307E7A77" w:rsidR="00250964" w:rsidRPr="00E82DBA" w:rsidRDefault="00250964" w:rsidP="00250964">
      <w:pPr>
        <w:pStyle w:val="EndnoteText"/>
        <w:rPr>
          <w:sz w:val="20"/>
        </w:rPr>
      </w:pPr>
      <w:r w:rsidRPr="00E82DBA">
        <w:rPr>
          <w:rStyle w:val="EndnoteReference"/>
          <w:sz w:val="20"/>
        </w:rPr>
        <w:endnoteRef/>
      </w:r>
      <w:r w:rsidRPr="00E82DBA">
        <w:rPr>
          <w:sz w:val="20"/>
        </w:rPr>
        <w:t xml:space="preserve"> </w:t>
      </w:r>
      <w:r w:rsidR="003461C3" w:rsidRPr="00E82DBA">
        <w:rPr>
          <w:sz w:val="20"/>
        </w:rPr>
        <w:t xml:space="preserve">Versus Arthritis (2016). Working with Arthritis Available </w:t>
      </w:r>
      <w:hyperlink r:id="rId16" w:history="1">
        <w:r w:rsidR="003461C3" w:rsidRPr="00E82DBA">
          <w:rPr>
            <w:rStyle w:val="Hyperlink"/>
            <w:sz w:val="20"/>
          </w:rPr>
          <w:t>https://www.versusarthritis.org/media/2071/working-with-arthritis-policy-report.pdf</w:t>
        </w:r>
      </w:hyperlink>
    </w:p>
  </w:endnote>
  <w:endnote w:id="47">
    <w:p w14:paraId="23284723" w14:textId="316FBF65" w:rsidR="00F06C9C" w:rsidRDefault="00F06C9C">
      <w:pPr>
        <w:pStyle w:val="EndnoteText"/>
      </w:pPr>
      <w:r w:rsidRPr="00F06C9C">
        <w:rPr>
          <w:rStyle w:val="EndnoteReference"/>
          <w:sz w:val="20"/>
        </w:rPr>
        <w:endnoteRef/>
      </w:r>
      <w:r w:rsidRPr="00F06C9C">
        <w:rPr>
          <w:sz w:val="20"/>
        </w:rPr>
        <w:t xml:space="preserve"> Carers UK (2019). Facts about carers. Available </w:t>
      </w:r>
      <w:hyperlink r:id="rId17" w:history="1">
        <w:r w:rsidRPr="00F06C9C">
          <w:rPr>
            <w:rStyle w:val="Hyperlink"/>
            <w:sz w:val="20"/>
          </w:rPr>
          <w:t>https://www.carersuk.org/images/Facts_about_Carers_2019.pdf</w:t>
        </w:r>
      </w:hyperlink>
      <w:r>
        <w:t xml:space="preserve">  </w:t>
      </w:r>
    </w:p>
  </w:endnote>
  <w:endnote w:id="48">
    <w:p w14:paraId="70194CDC" w14:textId="207FD400" w:rsidR="00912FFC" w:rsidRPr="00E82DBA" w:rsidRDefault="00912FFC" w:rsidP="009748F5">
      <w:pPr>
        <w:pStyle w:val="EndnoteText"/>
        <w:rPr>
          <w:sz w:val="20"/>
        </w:rPr>
      </w:pPr>
      <w:r w:rsidRPr="00E82DBA">
        <w:rPr>
          <w:rStyle w:val="EndnoteReference"/>
          <w:sz w:val="20"/>
        </w:rPr>
        <w:endnoteRef/>
      </w:r>
      <w:r w:rsidR="009748F5" w:rsidRPr="00E82DBA">
        <w:rPr>
          <w:sz w:val="20"/>
        </w:rPr>
        <w:t xml:space="preserve"> Brage S, Nygard JF, Tellnes G. The gender gap in musculoskeletal-related long term sickness absence in Norway. Scandinavian Journal of Social Medicine. 1998;26(1):34-43. doi:10.1177/14034948980260010901</w:t>
      </w:r>
    </w:p>
  </w:endnote>
  <w:endnote w:id="49">
    <w:p w14:paraId="749AF038" w14:textId="20D751A2" w:rsidR="00865DB7" w:rsidRDefault="00865DB7" w:rsidP="00E82DBA">
      <w:pPr>
        <w:pStyle w:val="EndnoteText"/>
      </w:pPr>
      <w:r w:rsidRPr="00E82DBA">
        <w:rPr>
          <w:rStyle w:val="EndnoteReference"/>
          <w:sz w:val="20"/>
        </w:rPr>
        <w:endnoteRef/>
      </w:r>
      <w:r w:rsidRPr="00E82DBA">
        <w:rPr>
          <w:sz w:val="20"/>
        </w:rPr>
        <w:t xml:space="preserve"> </w:t>
      </w:r>
      <w:r w:rsidR="00E82DBA" w:rsidRPr="00E82DBA">
        <w:rPr>
          <w:rFonts w:cs="Arial"/>
          <w:color w:val="222222"/>
          <w:sz w:val="20"/>
          <w:shd w:val="clear" w:color="auto" w:fill="FFFFFF"/>
        </w:rPr>
        <w:t>Foss, L., Gravseth, H. M., Kristensen, P., Claussen, B., Mehlum, I. S., &amp; Skyberg, K. (2010). Risk factors for long-term absence due to psychiatric sickness: a register-based 5-year follow-up from the Oslo health study. </w:t>
      </w:r>
      <w:r w:rsidR="00E82DBA" w:rsidRPr="00E82DBA">
        <w:rPr>
          <w:rFonts w:cs="Arial"/>
          <w:i/>
          <w:iCs/>
          <w:color w:val="222222"/>
          <w:sz w:val="20"/>
          <w:shd w:val="clear" w:color="auto" w:fill="FFFFFF"/>
        </w:rPr>
        <w:t>Journal of occupational and environmental medicine</w:t>
      </w:r>
      <w:r w:rsidR="00E82DBA" w:rsidRPr="00E82DBA">
        <w:rPr>
          <w:rFonts w:cs="Arial"/>
          <w:color w:val="222222"/>
          <w:sz w:val="20"/>
          <w:shd w:val="clear" w:color="auto" w:fill="FFFFFF"/>
        </w:rPr>
        <w:t>, </w:t>
      </w:r>
      <w:r w:rsidR="00E82DBA" w:rsidRPr="00E82DBA">
        <w:rPr>
          <w:rFonts w:cs="Arial"/>
          <w:i/>
          <w:iCs/>
          <w:color w:val="222222"/>
          <w:sz w:val="20"/>
          <w:shd w:val="clear" w:color="auto" w:fill="FFFFFF"/>
        </w:rPr>
        <w:t>52</w:t>
      </w:r>
      <w:r w:rsidR="00E82DBA" w:rsidRPr="00E82DBA">
        <w:rPr>
          <w:rFonts w:cs="Arial"/>
          <w:color w:val="222222"/>
          <w:sz w:val="20"/>
          <w:shd w:val="clear" w:color="auto" w:fill="FFFFFF"/>
        </w:rPr>
        <w:t>(7), 698-705.</w:t>
      </w:r>
    </w:p>
  </w:endnote>
  <w:endnote w:id="50">
    <w:p w14:paraId="0A0092D5" w14:textId="29999ADF" w:rsidR="00250964" w:rsidRPr="00B64CB5" w:rsidRDefault="00250964" w:rsidP="00250964">
      <w:pPr>
        <w:pStyle w:val="EndnoteText"/>
        <w:rPr>
          <w:sz w:val="20"/>
        </w:rPr>
      </w:pPr>
      <w:r w:rsidRPr="00B64CB5">
        <w:rPr>
          <w:rStyle w:val="EndnoteReference"/>
          <w:sz w:val="20"/>
        </w:rPr>
        <w:endnoteRef/>
      </w:r>
      <w:r w:rsidR="003461C3" w:rsidRPr="00B64CB5">
        <w:rPr>
          <w:sz w:val="20"/>
        </w:rPr>
        <w:t xml:space="preserve"> Department of Work and Pensions (2020). Access to Work statistics. Available </w:t>
      </w:r>
      <w:hyperlink r:id="rId18" w:history="1">
        <w:r w:rsidR="003461C3" w:rsidRPr="00B64CB5">
          <w:rPr>
            <w:rStyle w:val="Hyperlink"/>
            <w:sz w:val="20"/>
          </w:rPr>
          <w:t>https://assets.publishing.service.gov.uk/government/uploads/system/uploads/attachment_data/file/915547/access-to-work-statistics-april-2007-to-march-2020-tables.ods</w:t>
        </w:r>
      </w:hyperlink>
    </w:p>
  </w:endnote>
  <w:endnote w:id="51">
    <w:p w14:paraId="2246DA18" w14:textId="4E910E04" w:rsidR="00B64CB5" w:rsidRPr="00B64CB5" w:rsidRDefault="00B64CB5">
      <w:pPr>
        <w:pStyle w:val="EndnoteText"/>
        <w:rPr>
          <w:sz w:val="20"/>
        </w:rPr>
      </w:pPr>
      <w:r w:rsidRPr="00B64CB5">
        <w:rPr>
          <w:rStyle w:val="EndnoteReference"/>
          <w:sz w:val="20"/>
        </w:rPr>
        <w:endnoteRef/>
      </w:r>
      <w:r w:rsidRPr="00B64CB5">
        <w:rPr>
          <w:sz w:val="20"/>
        </w:rPr>
        <w:t xml:space="preserve"> Versus Arthritis (2020)</w:t>
      </w:r>
      <w:r w:rsidR="00E905A2">
        <w:rPr>
          <w:sz w:val="20"/>
        </w:rPr>
        <w:t>.</w:t>
      </w:r>
      <w:r w:rsidRPr="00B64CB5">
        <w:rPr>
          <w:rFonts w:cs="Arial"/>
          <w:color w:val="000000" w:themeColor="text1"/>
          <w:sz w:val="20"/>
        </w:rPr>
        <w:t xml:space="preserve"> COVID-19 Pain Impact Survey results (unpublished)</w:t>
      </w:r>
    </w:p>
  </w:endnote>
  <w:endnote w:id="52">
    <w:p w14:paraId="55366641" w14:textId="2C8956A6" w:rsidR="00250964" w:rsidRPr="00B64CB5" w:rsidRDefault="00250964" w:rsidP="00250964">
      <w:pPr>
        <w:pStyle w:val="EndnoteText"/>
        <w:rPr>
          <w:sz w:val="20"/>
        </w:rPr>
      </w:pPr>
      <w:r w:rsidRPr="00B64CB5">
        <w:rPr>
          <w:rStyle w:val="EndnoteReference"/>
          <w:sz w:val="20"/>
        </w:rPr>
        <w:endnoteRef/>
      </w:r>
      <w:r w:rsidRPr="00B64CB5">
        <w:rPr>
          <w:sz w:val="20"/>
        </w:rPr>
        <w:t xml:space="preserve"> Versus Arthritis (2020)</w:t>
      </w:r>
      <w:r w:rsidR="00E905A2">
        <w:rPr>
          <w:sz w:val="20"/>
        </w:rPr>
        <w:t>.</w:t>
      </w:r>
      <w:r w:rsidR="00AE1489" w:rsidRPr="00AE1489">
        <w:rPr>
          <w:rFonts w:cs="Arial"/>
          <w:color w:val="000000" w:themeColor="text1"/>
          <w:sz w:val="20"/>
        </w:rPr>
        <w:t xml:space="preserve"> </w:t>
      </w:r>
      <w:r w:rsidR="00AE1489" w:rsidRPr="00200385">
        <w:rPr>
          <w:rFonts w:cs="Arial"/>
          <w:color w:val="000000" w:themeColor="text1"/>
          <w:sz w:val="20"/>
        </w:rPr>
        <w:t>Joint Replacement COVID-19 Impact Survey</w:t>
      </w:r>
      <w:r w:rsidR="00AE1489" w:rsidRPr="00AE1489">
        <w:rPr>
          <w:rFonts w:cs="Arial"/>
          <w:color w:val="000000" w:themeColor="text1"/>
          <w:sz w:val="20"/>
        </w:rPr>
        <w:t xml:space="preserve"> </w:t>
      </w:r>
      <w:r w:rsidR="00AE1489" w:rsidRPr="00B64CB5">
        <w:rPr>
          <w:rFonts w:cs="Arial"/>
          <w:color w:val="000000" w:themeColor="text1"/>
          <w:sz w:val="20"/>
        </w:rPr>
        <w:t>results (unpublished)</w:t>
      </w:r>
    </w:p>
  </w:endnote>
  <w:endnote w:id="53">
    <w:p w14:paraId="22FD9E1D" w14:textId="44D6860D" w:rsidR="00250964" w:rsidRPr="004B3282" w:rsidRDefault="00250964" w:rsidP="00FA1BC8">
      <w:pPr>
        <w:pStyle w:val="EndnoteText"/>
        <w:rPr>
          <w:sz w:val="20"/>
        </w:rPr>
      </w:pPr>
      <w:r w:rsidRPr="00B64CB5">
        <w:rPr>
          <w:rStyle w:val="EndnoteReference"/>
          <w:sz w:val="20"/>
        </w:rPr>
        <w:endnoteRef/>
      </w:r>
      <w:r w:rsidRPr="00B64CB5">
        <w:rPr>
          <w:sz w:val="20"/>
        </w:rPr>
        <w:t xml:space="preserve"> </w:t>
      </w:r>
      <w:r w:rsidR="00FA1BC8" w:rsidRPr="00B64CB5">
        <w:rPr>
          <w:sz w:val="20"/>
        </w:rPr>
        <w:t>Versus Arthritis (2020)</w:t>
      </w:r>
      <w:r w:rsidR="00FA1BC8">
        <w:rPr>
          <w:sz w:val="20"/>
        </w:rPr>
        <w:t>.</w:t>
      </w:r>
      <w:r w:rsidR="00FA1BC8" w:rsidRPr="00AE1489">
        <w:rPr>
          <w:rFonts w:cs="Arial"/>
          <w:color w:val="000000" w:themeColor="text1"/>
          <w:sz w:val="20"/>
        </w:rPr>
        <w:t xml:space="preserve"> </w:t>
      </w:r>
      <w:r w:rsidR="00FA1BC8" w:rsidRPr="00200385">
        <w:rPr>
          <w:rFonts w:cs="Arial"/>
          <w:color w:val="000000" w:themeColor="text1"/>
          <w:sz w:val="20"/>
        </w:rPr>
        <w:t xml:space="preserve">Back Pain in Lockdown Survey </w:t>
      </w:r>
      <w:r w:rsidR="00FA1BC8" w:rsidRPr="00B64CB5">
        <w:rPr>
          <w:rFonts w:cs="Arial"/>
          <w:color w:val="000000" w:themeColor="text1"/>
          <w:sz w:val="20"/>
        </w:rPr>
        <w:t>results (unpublished)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98045"/>
      <w:docPartObj>
        <w:docPartGallery w:val="Page Numbers (Bottom of Page)"/>
        <w:docPartUnique/>
      </w:docPartObj>
    </w:sdtPr>
    <w:sdtEndPr>
      <w:rPr>
        <w:noProof/>
      </w:rPr>
    </w:sdtEndPr>
    <w:sdtContent>
      <w:p w14:paraId="5761811C" w14:textId="50F6F10F" w:rsidR="005472B3" w:rsidRDefault="005472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476ED3" w14:textId="77777777" w:rsidR="005472B3" w:rsidRDefault="0054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C429" w14:textId="77777777" w:rsidR="002E2376" w:rsidRDefault="002E2376" w:rsidP="00250964">
      <w:pPr>
        <w:spacing w:after="0" w:line="240" w:lineRule="auto"/>
      </w:pPr>
      <w:r>
        <w:separator/>
      </w:r>
    </w:p>
  </w:footnote>
  <w:footnote w:type="continuationSeparator" w:id="0">
    <w:p w14:paraId="148A61F7" w14:textId="77777777" w:rsidR="002E2376" w:rsidRDefault="002E2376" w:rsidP="00250964">
      <w:pPr>
        <w:spacing w:after="0" w:line="240" w:lineRule="auto"/>
      </w:pPr>
      <w:r>
        <w:continuationSeparator/>
      </w:r>
    </w:p>
  </w:footnote>
  <w:footnote w:type="continuationNotice" w:id="1">
    <w:p w14:paraId="09E72085" w14:textId="77777777" w:rsidR="002E2376" w:rsidRDefault="002E2376">
      <w:pPr>
        <w:spacing w:after="0" w:line="240" w:lineRule="auto"/>
      </w:pPr>
    </w:p>
  </w:footnote>
  <w:footnote w:id="2">
    <w:p w14:paraId="14C23BA5" w14:textId="5D55AA9D" w:rsidR="00250964" w:rsidRDefault="00250964">
      <w:pPr>
        <w:pStyle w:val="FootnoteText"/>
      </w:pPr>
      <w:r>
        <w:rPr>
          <w:rStyle w:val="FootnoteReference"/>
        </w:rPr>
        <w:footnoteRef/>
      </w:r>
      <w:r w:rsidRPr="00250964">
        <w:rPr>
          <w:sz w:val="20"/>
        </w:rPr>
        <w:t>Figure based on mid-2019 population estimate for people aged 16 and over (45,470,282) in England.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39F89"/>
    <w:multiLevelType w:val="hybridMultilevel"/>
    <w:tmpl w:val="5C9CEC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648"/>
    <w:multiLevelType w:val="hybridMultilevel"/>
    <w:tmpl w:val="3718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C7D19"/>
    <w:multiLevelType w:val="hybridMultilevel"/>
    <w:tmpl w:val="E85E1BBC"/>
    <w:lvl w:ilvl="0" w:tplc="B322D2DC">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76BF8"/>
    <w:multiLevelType w:val="hybridMultilevel"/>
    <w:tmpl w:val="9E2A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E1CF1"/>
    <w:multiLevelType w:val="hybridMultilevel"/>
    <w:tmpl w:val="DB8AD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65159F2"/>
    <w:multiLevelType w:val="hybridMultilevel"/>
    <w:tmpl w:val="85847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D2226D"/>
    <w:multiLevelType w:val="hybridMultilevel"/>
    <w:tmpl w:val="24761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9D6715"/>
    <w:multiLevelType w:val="hybridMultilevel"/>
    <w:tmpl w:val="C68A436A"/>
    <w:lvl w:ilvl="0" w:tplc="B322D2DC">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D1B7F"/>
    <w:multiLevelType w:val="hybridMultilevel"/>
    <w:tmpl w:val="FD1E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72165"/>
    <w:multiLevelType w:val="hybridMultilevel"/>
    <w:tmpl w:val="50FE9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796883"/>
    <w:multiLevelType w:val="hybridMultilevel"/>
    <w:tmpl w:val="8B3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15446"/>
    <w:multiLevelType w:val="hybridMultilevel"/>
    <w:tmpl w:val="720E1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F2F64"/>
    <w:multiLevelType w:val="hybridMultilevel"/>
    <w:tmpl w:val="B10A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9093E"/>
    <w:multiLevelType w:val="hybridMultilevel"/>
    <w:tmpl w:val="3FD674B4"/>
    <w:lvl w:ilvl="0" w:tplc="B322D2DC">
      <w:start w:val="1"/>
      <w:numFmt w:val="decimal"/>
      <w:lvlText w:val="%1."/>
      <w:lvlJc w:val="left"/>
      <w:pPr>
        <w:ind w:left="360" w:hanging="360"/>
      </w:pPr>
      <w:rPr>
        <w:b w:val="0"/>
        <w:bCs w:val="0"/>
        <w:sz w:val="22"/>
        <w:szCs w:val="22"/>
      </w:rPr>
    </w:lvl>
    <w:lvl w:ilvl="1" w:tplc="08090001">
      <w:start w:val="1"/>
      <w:numFmt w:val="bullet"/>
      <w:lvlText w:val=""/>
      <w:lvlJc w:val="left"/>
      <w:pPr>
        <w:ind w:left="785"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A59B3"/>
    <w:multiLevelType w:val="hybridMultilevel"/>
    <w:tmpl w:val="081EB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70085"/>
    <w:multiLevelType w:val="hybridMultilevel"/>
    <w:tmpl w:val="2EFE4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10612A"/>
    <w:multiLevelType w:val="hybridMultilevel"/>
    <w:tmpl w:val="9B3E1962"/>
    <w:lvl w:ilvl="0" w:tplc="B322D2DC">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5E693C"/>
    <w:multiLevelType w:val="hybridMultilevel"/>
    <w:tmpl w:val="F8D0D1D2"/>
    <w:lvl w:ilvl="0" w:tplc="B322D2DC">
      <w:start w:val="1"/>
      <w:numFmt w:val="decimal"/>
      <w:lvlText w:val="%1."/>
      <w:lvlJc w:val="left"/>
      <w:pPr>
        <w:ind w:left="360" w:hanging="360"/>
      </w:pPr>
      <w:rPr>
        <w:b w:val="0"/>
        <w:bCs w:val="0"/>
        <w:sz w:val="22"/>
        <w:szCs w:val="22"/>
      </w:rPr>
    </w:lvl>
    <w:lvl w:ilvl="1" w:tplc="08090001">
      <w:start w:val="1"/>
      <w:numFmt w:val="bullet"/>
      <w:lvlText w:val=""/>
      <w:lvlJc w:val="left"/>
      <w:pPr>
        <w:ind w:left="785"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77E52"/>
    <w:multiLevelType w:val="hybridMultilevel"/>
    <w:tmpl w:val="AB14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02D3C"/>
    <w:multiLevelType w:val="hybridMultilevel"/>
    <w:tmpl w:val="217CE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050352"/>
    <w:multiLevelType w:val="hybridMultilevel"/>
    <w:tmpl w:val="3F5ACC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B711E"/>
    <w:multiLevelType w:val="hybridMultilevel"/>
    <w:tmpl w:val="2E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F56CC"/>
    <w:multiLevelType w:val="hybridMultilevel"/>
    <w:tmpl w:val="4B72A1F6"/>
    <w:lvl w:ilvl="0" w:tplc="81645C1C">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F085C"/>
    <w:multiLevelType w:val="hybridMultilevel"/>
    <w:tmpl w:val="CAB65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72898"/>
    <w:multiLevelType w:val="hybridMultilevel"/>
    <w:tmpl w:val="0A60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3167D"/>
    <w:multiLevelType w:val="hybridMultilevel"/>
    <w:tmpl w:val="0F1869D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5AA40182"/>
    <w:multiLevelType w:val="hybridMultilevel"/>
    <w:tmpl w:val="6126654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D4271AE"/>
    <w:multiLevelType w:val="hybridMultilevel"/>
    <w:tmpl w:val="503C5CB4"/>
    <w:lvl w:ilvl="0" w:tplc="0809000F">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768EE"/>
    <w:multiLevelType w:val="hybridMultilevel"/>
    <w:tmpl w:val="8EEEEA90"/>
    <w:lvl w:ilvl="0" w:tplc="B322D2DC">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15B7A"/>
    <w:multiLevelType w:val="hybridMultilevel"/>
    <w:tmpl w:val="59520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15A59"/>
    <w:multiLevelType w:val="hybridMultilevel"/>
    <w:tmpl w:val="8D962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530A4E"/>
    <w:multiLevelType w:val="hybridMultilevel"/>
    <w:tmpl w:val="03226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66BC3"/>
    <w:multiLevelType w:val="hybridMultilevel"/>
    <w:tmpl w:val="DA1AD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176460"/>
    <w:multiLevelType w:val="hybridMultilevel"/>
    <w:tmpl w:val="D0CA554E"/>
    <w:lvl w:ilvl="0" w:tplc="0888C3AA">
      <w:start w:val="1"/>
      <w:numFmt w:val="decimal"/>
      <w:lvlText w:val="%1."/>
      <w:lvlJc w:val="left"/>
      <w:pPr>
        <w:ind w:left="360" w:hanging="360"/>
      </w:pPr>
      <w:rPr>
        <w:b w:val="0"/>
      </w:rPr>
    </w:lvl>
    <w:lvl w:ilvl="1" w:tplc="08090001">
      <w:start w:val="1"/>
      <w:numFmt w:val="bullet"/>
      <w:lvlText w:val=""/>
      <w:lvlJc w:val="left"/>
      <w:pPr>
        <w:ind w:left="644" w:hanging="360"/>
      </w:pPr>
      <w:rPr>
        <w:rFonts w:ascii="Symbol" w:hAnsi="Symbol" w:hint="default"/>
      </w:rPr>
    </w:lvl>
    <w:lvl w:ilvl="2" w:tplc="08090003">
      <w:start w:val="1"/>
      <w:numFmt w:val="bullet"/>
      <w:lvlText w:val="o"/>
      <w:lvlJc w:val="left"/>
      <w:pPr>
        <w:ind w:left="1172" w:hanging="180"/>
      </w:pPr>
      <w:rPr>
        <w:rFonts w:ascii="Courier New" w:hAnsi="Courier New" w:cs="Courier New"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2"/>
  </w:num>
  <w:num w:numId="3">
    <w:abstractNumId w:val="15"/>
  </w:num>
  <w:num w:numId="4">
    <w:abstractNumId w:val="13"/>
  </w:num>
  <w:num w:numId="5">
    <w:abstractNumId w:val="4"/>
  </w:num>
  <w:num w:numId="6">
    <w:abstractNumId w:val="21"/>
  </w:num>
  <w:num w:numId="7">
    <w:abstractNumId w:val="6"/>
  </w:num>
  <w:num w:numId="8">
    <w:abstractNumId w:val="0"/>
  </w:num>
  <w:num w:numId="9">
    <w:abstractNumId w:val="25"/>
  </w:num>
  <w:num w:numId="10">
    <w:abstractNumId w:val="26"/>
  </w:num>
  <w:num w:numId="11">
    <w:abstractNumId w:val="11"/>
  </w:num>
  <w:num w:numId="12">
    <w:abstractNumId w:val="33"/>
  </w:num>
  <w:num w:numId="13">
    <w:abstractNumId w:val="30"/>
  </w:num>
  <w:num w:numId="14">
    <w:abstractNumId w:val="9"/>
  </w:num>
  <w:num w:numId="15">
    <w:abstractNumId w:val="14"/>
  </w:num>
  <w:num w:numId="16">
    <w:abstractNumId w:val="7"/>
  </w:num>
  <w:num w:numId="17">
    <w:abstractNumId w:val="32"/>
  </w:num>
  <w:num w:numId="18">
    <w:abstractNumId w:val="28"/>
  </w:num>
  <w:num w:numId="19">
    <w:abstractNumId w:val="19"/>
  </w:num>
  <w:num w:numId="20">
    <w:abstractNumId w:val="23"/>
  </w:num>
  <w:num w:numId="21">
    <w:abstractNumId w:val="8"/>
  </w:num>
  <w:num w:numId="22">
    <w:abstractNumId w:val="1"/>
  </w:num>
  <w:num w:numId="23">
    <w:abstractNumId w:val="1"/>
  </w:num>
  <w:num w:numId="24">
    <w:abstractNumId w:val="1"/>
  </w:num>
  <w:num w:numId="25">
    <w:abstractNumId w:val="1"/>
  </w:num>
  <w:num w:numId="26">
    <w:abstractNumId w:val="29"/>
  </w:num>
  <w:num w:numId="27">
    <w:abstractNumId w:val="27"/>
  </w:num>
  <w:num w:numId="28">
    <w:abstractNumId w:val="3"/>
  </w:num>
  <w:num w:numId="29">
    <w:abstractNumId w:val="5"/>
  </w:num>
  <w:num w:numId="30">
    <w:abstractNumId w:val="17"/>
  </w:num>
  <w:num w:numId="31">
    <w:abstractNumId w:val="1"/>
  </w:num>
  <w:num w:numId="32">
    <w:abstractNumId w:val="2"/>
  </w:num>
  <w:num w:numId="33">
    <w:abstractNumId w:val="31"/>
  </w:num>
  <w:num w:numId="34">
    <w:abstractNumId w:val="1"/>
  </w:num>
  <w:num w:numId="35">
    <w:abstractNumId w:val="20"/>
  </w:num>
  <w:num w:numId="36">
    <w:abstractNumId w:val="18"/>
  </w:num>
  <w:num w:numId="37">
    <w:abstractNumId w:val="1"/>
  </w:num>
  <w:num w:numId="38">
    <w:abstractNumId w:val="10"/>
  </w:num>
  <w:num w:numId="39">
    <w:abstractNumId w:val="24"/>
  </w:num>
  <w:num w:numId="40">
    <w:abstractNumId w:val="12"/>
  </w:num>
  <w:num w:numId="41">
    <w:abstractNumId w:val="1"/>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64"/>
    <w:rsid w:val="0000128D"/>
    <w:rsid w:val="0000216A"/>
    <w:rsid w:val="000046E6"/>
    <w:rsid w:val="000076A7"/>
    <w:rsid w:val="00007B26"/>
    <w:rsid w:val="00007EDF"/>
    <w:rsid w:val="00007F07"/>
    <w:rsid w:val="000103AF"/>
    <w:rsid w:val="00010A85"/>
    <w:rsid w:val="000112C9"/>
    <w:rsid w:val="0001190D"/>
    <w:rsid w:val="00012F95"/>
    <w:rsid w:val="00015906"/>
    <w:rsid w:val="000167B1"/>
    <w:rsid w:val="0001680F"/>
    <w:rsid w:val="00016F6B"/>
    <w:rsid w:val="00021A47"/>
    <w:rsid w:val="000265ED"/>
    <w:rsid w:val="00026D2D"/>
    <w:rsid w:val="00027984"/>
    <w:rsid w:val="00027996"/>
    <w:rsid w:val="00030847"/>
    <w:rsid w:val="0003316A"/>
    <w:rsid w:val="00034E82"/>
    <w:rsid w:val="00037A49"/>
    <w:rsid w:val="000408A5"/>
    <w:rsid w:val="00040CE5"/>
    <w:rsid w:val="000412E4"/>
    <w:rsid w:val="000429BE"/>
    <w:rsid w:val="00045AB6"/>
    <w:rsid w:val="00046F09"/>
    <w:rsid w:val="00047195"/>
    <w:rsid w:val="000471E7"/>
    <w:rsid w:val="00052A48"/>
    <w:rsid w:val="00055879"/>
    <w:rsid w:val="000569FC"/>
    <w:rsid w:val="000579E8"/>
    <w:rsid w:val="000617E2"/>
    <w:rsid w:val="00063128"/>
    <w:rsid w:val="00063CDF"/>
    <w:rsid w:val="000665BA"/>
    <w:rsid w:val="00067B4F"/>
    <w:rsid w:val="00070645"/>
    <w:rsid w:val="000727A0"/>
    <w:rsid w:val="000729C8"/>
    <w:rsid w:val="0007307D"/>
    <w:rsid w:val="0007403F"/>
    <w:rsid w:val="00074EEE"/>
    <w:rsid w:val="00075FBB"/>
    <w:rsid w:val="0007791C"/>
    <w:rsid w:val="00080397"/>
    <w:rsid w:val="00080F73"/>
    <w:rsid w:val="000826BE"/>
    <w:rsid w:val="00082E8F"/>
    <w:rsid w:val="00083E48"/>
    <w:rsid w:val="00084EC8"/>
    <w:rsid w:val="00085E83"/>
    <w:rsid w:val="00087482"/>
    <w:rsid w:val="00090986"/>
    <w:rsid w:val="000917F2"/>
    <w:rsid w:val="0009194B"/>
    <w:rsid w:val="00091A97"/>
    <w:rsid w:val="00092795"/>
    <w:rsid w:val="00097C5F"/>
    <w:rsid w:val="000A0187"/>
    <w:rsid w:val="000A1E87"/>
    <w:rsid w:val="000A2D68"/>
    <w:rsid w:val="000A39B6"/>
    <w:rsid w:val="000A4117"/>
    <w:rsid w:val="000A41CE"/>
    <w:rsid w:val="000A4628"/>
    <w:rsid w:val="000A47F0"/>
    <w:rsid w:val="000A5A31"/>
    <w:rsid w:val="000B049D"/>
    <w:rsid w:val="000B06D0"/>
    <w:rsid w:val="000B32A6"/>
    <w:rsid w:val="000B3305"/>
    <w:rsid w:val="000B3BE6"/>
    <w:rsid w:val="000B4B72"/>
    <w:rsid w:val="000B6225"/>
    <w:rsid w:val="000B70E2"/>
    <w:rsid w:val="000B7E89"/>
    <w:rsid w:val="000C0BA6"/>
    <w:rsid w:val="000C3624"/>
    <w:rsid w:val="000C7B0B"/>
    <w:rsid w:val="000C7B8F"/>
    <w:rsid w:val="000D23A9"/>
    <w:rsid w:val="000D55A8"/>
    <w:rsid w:val="000E1DBA"/>
    <w:rsid w:val="000E33CF"/>
    <w:rsid w:val="000E3599"/>
    <w:rsid w:val="000E548E"/>
    <w:rsid w:val="000E5548"/>
    <w:rsid w:val="000E5EF5"/>
    <w:rsid w:val="000E7870"/>
    <w:rsid w:val="000F2AB1"/>
    <w:rsid w:val="000F599D"/>
    <w:rsid w:val="000F649F"/>
    <w:rsid w:val="00100D55"/>
    <w:rsid w:val="001020B5"/>
    <w:rsid w:val="00102242"/>
    <w:rsid w:val="00102495"/>
    <w:rsid w:val="00102B49"/>
    <w:rsid w:val="0010388D"/>
    <w:rsid w:val="001051E4"/>
    <w:rsid w:val="00110179"/>
    <w:rsid w:val="001102B0"/>
    <w:rsid w:val="00110C04"/>
    <w:rsid w:val="00113AE3"/>
    <w:rsid w:val="00113EC6"/>
    <w:rsid w:val="00115798"/>
    <w:rsid w:val="001162EC"/>
    <w:rsid w:val="00117521"/>
    <w:rsid w:val="00121CB6"/>
    <w:rsid w:val="0012540B"/>
    <w:rsid w:val="001255AC"/>
    <w:rsid w:val="00126066"/>
    <w:rsid w:val="00130FEF"/>
    <w:rsid w:val="00135135"/>
    <w:rsid w:val="00136186"/>
    <w:rsid w:val="001422B9"/>
    <w:rsid w:val="0014281C"/>
    <w:rsid w:val="00142AA4"/>
    <w:rsid w:val="00144762"/>
    <w:rsid w:val="00145BE6"/>
    <w:rsid w:val="00150119"/>
    <w:rsid w:val="00151E3D"/>
    <w:rsid w:val="0015418A"/>
    <w:rsid w:val="0015488D"/>
    <w:rsid w:val="001551C9"/>
    <w:rsid w:val="00156DFC"/>
    <w:rsid w:val="001609BE"/>
    <w:rsid w:val="001645AD"/>
    <w:rsid w:val="00164D11"/>
    <w:rsid w:val="0016585B"/>
    <w:rsid w:val="00166547"/>
    <w:rsid w:val="00170911"/>
    <w:rsid w:val="00172600"/>
    <w:rsid w:val="001731EA"/>
    <w:rsid w:val="00173EB1"/>
    <w:rsid w:val="00175642"/>
    <w:rsid w:val="00177C22"/>
    <w:rsid w:val="00181375"/>
    <w:rsid w:val="00182E31"/>
    <w:rsid w:val="0018544E"/>
    <w:rsid w:val="00186E20"/>
    <w:rsid w:val="001873EF"/>
    <w:rsid w:val="00187EE5"/>
    <w:rsid w:val="0019121C"/>
    <w:rsid w:val="00192234"/>
    <w:rsid w:val="001946F3"/>
    <w:rsid w:val="0019473F"/>
    <w:rsid w:val="00195B36"/>
    <w:rsid w:val="001A115B"/>
    <w:rsid w:val="001A1550"/>
    <w:rsid w:val="001A2AFA"/>
    <w:rsid w:val="001A2C10"/>
    <w:rsid w:val="001A3A0B"/>
    <w:rsid w:val="001A551E"/>
    <w:rsid w:val="001B09C8"/>
    <w:rsid w:val="001B0FD7"/>
    <w:rsid w:val="001B12E0"/>
    <w:rsid w:val="001B14B1"/>
    <w:rsid w:val="001B25A8"/>
    <w:rsid w:val="001B3BBB"/>
    <w:rsid w:val="001B4E50"/>
    <w:rsid w:val="001B61B9"/>
    <w:rsid w:val="001C0090"/>
    <w:rsid w:val="001C1514"/>
    <w:rsid w:val="001C4790"/>
    <w:rsid w:val="001C67A8"/>
    <w:rsid w:val="001D4A95"/>
    <w:rsid w:val="001D5AD7"/>
    <w:rsid w:val="001E06CC"/>
    <w:rsid w:val="001E18BA"/>
    <w:rsid w:val="001E21AF"/>
    <w:rsid w:val="001E5763"/>
    <w:rsid w:val="001E59A6"/>
    <w:rsid w:val="001F1EDD"/>
    <w:rsid w:val="001F2190"/>
    <w:rsid w:val="001F44F3"/>
    <w:rsid w:val="001F6521"/>
    <w:rsid w:val="002019AA"/>
    <w:rsid w:val="00202E5B"/>
    <w:rsid w:val="002033C4"/>
    <w:rsid w:val="00203517"/>
    <w:rsid w:val="00203CC8"/>
    <w:rsid w:val="00204DD9"/>
    <w:rsid w:val="00206BC0"/>
    <w:rsid w:val="00206C98"/>
    <w:rsid w:val="00207544"/>
    <w:rsid w:val="00210AE9"/>
    <w:rsid w:val="00210EC8"/>
    <w:rsid w:val="002165BE"/>
    <w:rsid w:val="00216865"/>
    <w:rsid w:val="00217B86"/>
    <w:rsid w:val="00222F35"/>
    <w:rsid w:val="00223AF0"/>
    <w:rsid w:val="00223CC8"/>
    <w:rsid w:val="00225526"/>
    <w:rsid w:val="00227841"/>
    <w:rsid w:val="002304FB"/>
    <w:rsid w:val="002324D5"/>
    <w:rsid w:val="0023424F"/>
    <w:rsid w:val="002351D7"/>
    <w:rsid w:val="00235D28"/>
    <w:rsid w:val="00237F16"/>
    <w:rsid w:val="0024041B"/>
    <w:rsid w:val="0024449C"/>
    <w:rsid w:val="00244ABF"/>
    <w:rsid w:val="00244B60"/>
    <w:rsid w:val="002452C5"/>
    <w:rsid w:val="00245712"/>
    <w:rsid w:val="002468AC"/>
    <w:rsid w:val="00250964"/>
    <w:rsid w:val="0025200D"/>
    <w:rsid w:val="0025258D"/>
    <w:rsid w:val="00252BE2"/>
    <w:rsid w:val="0025549C"/>
    <w:rsid w:val="00256EC7"/>
    <w:rsid w:val="002608AD"/>
    <w:rsid w:val="00260BAF"/>
    <w:rsid w:val="00262B52"/>
    <w:rsid w:val="00262DA3"/>
    <w:rsid w:val="00263418"/>
    <w:rsid w:val="002679DF"/>
    <w:rsid w:val="00267F3A"/>
    <w:rsid w:val="00271393"/>
    <w:rsid w:val="002729C4"/>
    <w:rsid w:val="00272D85"/>
    <w:rsid w:val="00272DFD"/>
    <w:rsid w:val="00273EAA"/>
    <w:rsid w:val="00274A1C"/>
    <w:rsid w:val="00274F21"/>
    <w:rsid w:val="00276A9D"/>
    <w:rsid w:val="0028350F"/>
    <w:rsid w:val="00287D42"/>
    <w:rsid w:val="002920DB"/>
    <w:rsid w:val="00293344"/>
    <w:rsid w:val="002943B1"/>
    <w:rsid w:val="00294D32"/>
    <w:rsid w:val="002962A2"/>
    <w:rsid w:val="00296DD9"/>
    <w:rsid w:val="00297185"/>
    <w:rsid w:val="002A14CF"/>
    <w:rsid w:val="002A3182"/>
    <w:rsid w:val="002A61C0"/>
    <w:rsid w:val="002B1974"/>
    <w:rsid w:val="002B2FF0"/>
    <w:rsid w:val="002B43AD"/>
    <w:rsid w:val="002B4FCA"/>
    <w:rsid w:val="002B75BA"/>
    <w:rsid w:val="002C0277"/>
    <w:rsid w:val="002C281F"/>
    <w:rsid w:val="002C2C2D"/>
    <w:rsid w:val="002C2C43"/>
    <w:rsid w:val="002C356E"/>
    <w:rsid w:val="002C3B8F"/>
    <w:rsid w:val="002C420E"/>
    <w:rsid w:val="002C4D5E"/>
    <w:rsid w:val="002C50D7"/>
    <w:rsid w:val="002D0178"/>
    <w:rsid w:val="002D04A2"/>
    <w:rsid w:val="002D1465"/>
    <w:rsid w:val="002D1942"/>
    <w:rsid w:val="002D2133"/>
    <w:rsid w:val="002D240D"/>
    <w:rsid w:val="002D247F"/>
    <w:rsid w:val="002D444C"/>
    <w:rsid w:val="002D4C24"/>
    <w:rsid w:val="002D58D4"/>
    <w:rsid w:val="002D76EE"/>
    <w:rsid w:val="002E0A92"/>
    <w:rsid w:val="002E2376"/>
    <w:rsid w:val="002E2BFA"/>
    <w:rsid w:val="002E3B64"/>
    <w:rsid w:val="002E3EF8"/>
    <w:rsid w:val="002E4688"/>
    <w:rsid w:val="002E63AC"/>
    <w:rsid w:val="002E719C"/>
    <w:rsid w:val="002F11A8"/>
    <w:rsid w:val="002F187B"/>
    <w:rsid w:val="002F3C64"/>
    <w:rsid w:val="002F4F54"/>
    <w:rsid w:val="002F50DF"/>
    <w:rsid w:val="00300957"/>
    <w:rsid w:val="00301B6F"/>
    <w:rsid w:val="0030356F"/>
    <w:rsid w:val="0030423D"/>
    <w:rsid w:val="00304AF4"/>
    <w:rsid w:val="00305751"/>
    <w:rsid w:val="00306D71"/>
    <w:rsid w:val="00306EB0"/>
    <w:rsid w:val="00310376"/>
    <w:rsid w:val="00311C7B"/>
    <w:rsid w:val="00312760"/>
    <w:rsid w:val="0031372E"/>
    <w:rsid w:val="00313AEA"/>
    <w:rsid w:val="003147CB"/>
    <w:rsid w:val="003153CC"/>
    <w:rsid w:val="0031719B"/>
    <w:rsid w:val="00320C21"/>
    <w:rsid w:val="00321DD2"/>
    <w:rsid w:val="00326F94"/>
    <w:rsid w:val="00327767"/>
    <w:rsid w:val="00331681"/>
    <w:rsid w:val="00334CFC"/>
    <w:rsid w:val="00337597"/>
    <w:rsid w:val="00340205"/>
    <w:rsid w:val="003413AE"/>
    <w:rsid w:val="0034206F"/>
    <w:rsid w:val="003420A4"/>
    <w:rsid w:val="00342B06"/>
    <w:rsid w:val="003461C3"/>
    <w:rsid w:val="00350135"/>
    <w:rsid w:val="0035035A"/>
    <w:rsid w:val="00350951"/>
    <w:rsid w:val="00350A8A"/>
    <w:rsid w:val="0035325E"/>
    <w:rsid w:val="0035449C"/>
    <w:rsid w:val="00354E93"/>
    <w:rsid w:val="0035633A"/>
    <w:rsid w:val="003616FC"/>
    <w:rsid w:val="00363574"/>
    <w:rsid w:val="00363822"/>
    <w:rsid w:val="003666DA"/>
    <w:rsid w:val="0036787C"/>
    <w:rsid w:val="003729DA"/>
    <w:rsid w:val="003736D6"/>
    <w:rsid w:val="00377301"/>
    <w:rsid w:val="003800BF"/>
    <w:rsid w:val="00380543"/>
    <w:rsid w:val="00380E79"/>
    <w:rsid w:val="0038181A"/>
    <w:rsid w:val="003825D4"/>
    <w:rsid w:val="00382CB5"/>
    <w:rsid w:val="00391B44"/>
    <w:rsid w:val="00392A8C"/>
    <w:rsid w:val="00393796"/>
    <w:rsid w:val="00394217"/>
    <w:rsid w:val="0039505A"/>
    <w:rsid w:val="00395BDB"/>
    <w:rsid w:val="00395D4F"/>
    <w:rsid w:val="00397731"/>
    <w:rsid w:val="00397F04"/>
    <w:rsid w:val="003A0126"/>
    <w:rsid w:val="003A27E8"/>
    <w:rsid w:val="003A2C3A"/>
    <w:rsid w:val="003A3D05"/>
    <w:rsid w:val="003A6247"/>
    <w:rsid w:val="003A7078"/>
    <w:rsid w:val="003A7151"/>
    <w:rsid w:val="003B02D6"/>
    <w:rsid w:val="003B0584"/>
    <w:rsid w:val="003B0A72"/>
    <w:rsid w:val="003B172A"/>
    <w:rsid w:val="003B25BC"/>
    <w:rsid w:val="003B429E"/>
    <w:rsid w:val="003B5F55"/>
    <w:rsid w:val="003B7545"/>
    <w:rsid w:val="003C09C6"/>
    <w:rsid w:val="003C4070"/>
    <w:rsid w:val="003C4BC1"/>
    <w:rsid w:val="003C4BFF"/>
    <w:rsid w:val="003C5BA8"/>
    <w:rsid w:val="003C5E1F"/>
    <w:rsid w:val="003C6B6B"/>
    <w:rsid w:val="003C748F"/>
    <w:rsid w:val="003D012E"/>
    <w:rsid w:val="003D02CF"/>
    <w:rsid w:val="003D0C32"/>
    <w:rsid w:val="003D34C1"/>
    <w:rsid w:val="003D3827"/>
    <w:rsid w:val="003D626B"/>
    <w:rsid w:val="003D7460"/>
    <w:rsid w:val="003D7581"/>
    <w:rsid w:val="003E0D93"/>
    <w:rsid w:val="003E2F30"/>
    <w:rsid w:val="003E3FE6"/>
    <w:rsid w:val="003E5E6A"/>
    <w:rsid w:val="003E6FC3"/>
    <w:rsid w:val="003E724D"/>
    <w:rsid w:val="003E7D2A"/>
    <w:rsid w:val="003F04C5"/>
    <w:rsid w:val="003F1462"/>
    <w:rsid w:val="003F3BF6"/>
    <w:rsid w:val="003F7BAA"/>
    <w:rsid w:val="00400255"/>
    <w:rsid w:val="00400BCF"/>
    <w:rsid w:val="00404892"/>
    <w:rsid w:val="004068CB"/>
    <w:rsid w:val="00410D3C"/>
    <w:rsid w:val="00413F85"/>
    <w:rsid w:val="00415142"/>
    <w:rsid w:val="0041628E"/>
    <w:rsid w:val="004201EB"/>
    <w:rsid w:val="00420435"/>
    <w:rsid w:val="0042180D"/>
    <w:rsid w:val="004236D6"/>
    <w:rsid w:val="00423979"/>
    <w:rsid w:val="0042410D"/>
    <w:rsid w:val="00424595"/>
    <w:rsid w:val="00426473"/>
    <w:rsid w:val="004308BD"/>
    <w:rsid w:val="00431662"/>
    <w:rsid w:val="0043191F"/>
    <w:rsid w:val="0043317B"/>
    <w:rsid w:val="00433B23"/>
    <w:rsid w:val="00435318"/>
    <w:rsid w:val="00435652"/>
    <w:rsid w:val="00437602"/>
    <w:rsid w:val="00441956"/>
    <w:rsid w:val="004420F9"/>
    <w:rsid w:val="00450839"/>
    <w:rsid w:val="00450A5B"/>
    <w:rsid w:val="004517F4"/>
    <w:rsid w:val="00453AC7"/>
    <w:rsid w:val="004540B4"/>
    <w:rsid w:val="004564D0"/>
    <w:rsid w:val="00461E7D"/>
    <w:rsid w:val="00462FC9"/>
    <w:rsid w:val="00463119"/>
    <w:rsid w:val="0046405F"/>
    <w:rsid w:val="0046524B"/>
    <w:rsid w:val="00473D7A"/>
    <w:rsid w:val="004750BE"/>
    <w:rsid w:val="0047621F"/>
    <w:rsid w:val="004766EC"/>
    <w:rsid w:val="004767A3"/>
    <w:rsid w:val="00476B6C"/>
    <w:rsid w:val="004802B2"/>
    <w:rsid w:val="00481A22"/>
    <w:rsid w:val="00484167"/>
    <w:rsid w:val="0048615A"/>
    <w:rsid w:val="004902F3"/>
    <w:rsid w:val="00490890"/>
    <w:rsid w:val="00493829"/>
    <w:rsid w:val="00495835"/>
    <w:rsid w:val="00495FE7"/>
    <w:rsid w:val="00496E07"/>
    <w:rsid w:val="004A1098"/>
    <w:rsid w:val="004A30C2"/>
    <w:rsid w:val="004A39CB"/>
    <w:rsid w:val="004A6118"/>
    <w:rsid w:val="004A62FA"/>
    <w:rsid w:val="004A6B14"/>
    <w:rsid w:val="004A79E5"/>
    <w:rsid w:val="004B155B"/>
    <w:rsid w:val="004B3A82"/>
    <w:rsid w:val="004B71D3"/>
    <w:rsid w:val="004C04FC"/>
    <w:rsid w:val="004C06A9"/>
    <w:rsid w:val="004C1449"/>
    <w:rsid w:val="004C1AF0"/>
    <w:rsid w:val="004C1BDF"/>
    <w:rsid w:val="004C44BC"/>
    <w:rsid w:val="004C53C6"/>
    <w:rsid w:val="004C5C94"/>
    <w:rsid w:val="004C7A1A"/>
    <w:rsid w:val="004C7E8D"/>
    <w:rsid w:val="004D0B22"/>
    <w:rsid w:val="004D2184"/>
    <w:rsid w:val="004D6CC6"/>
    <w:rsid w:val="004E083A"/>
    <w:rsid w:val="004E195B"/>
    <w:rsid w:val="004E2F98"/>
    <w:rsid w:val="004E346D"/>
    <w:rsid w:val="004E3546"/>
    <w:rsid w:val="004E5725"/>
    <w:rsid w:val="004F0609"/>
    <w:rsid w:val="004F0D95"/>
    <w:rsid w:val="004F59B0"/>
    <w:rsid w:val="004F644F"/>
    <w:rsid w:val="004F69E8"/>
    <w:rsid w:val="00500827"/>
    <w:rsid w:val="0050175F"/>
    <w:rsid w:val="005017DE"/>
    <w:rsid w:val="00503518"/>
    <w:rsid w:val="0050529C"/>
    <w:rsid w:val="00505EEC"/>
    <w:rsid w:val="00512E98"/>
    <w:rsid w:val="00512EB6"/>
    <w:rsid w:val="00513F62"/>
    <w:rsid w:val="00514977"/>
    <w:rsid w:val="00517092"/>
    <w:rsid w:val="00517317"/>
    <w:rsid w:val="0052085F"/>
    <w:rsid w:val="00521147"/>
    <w:rsid w:val="00521CDE"/>
    <w:rsid w:val="00521DEA"/>
    <w:rsid w:val="00522B17"/>
    <w:rsid w:val="005237FA"/>
    <w:rsid w:val="005241F4"/>
    <w:rsid w:val="00525BCB"/>
    <w:rsid w:val="00527DA6"/>
    <w:rsid w:val="00530469"/>
    <w:rsid w:val="00531221"/>
    <w:rsid w:val="00532F64"/>
    <w:rsid w:val="005345DF"/>
    <w:rsid w:val="0053734C"/>
    <w:rsid w:val="0054058C"/>
    <w:rsid w:val="005414EB"/>
    <w:rsid w:val="005417D1"/>
    <w:rsid w:val="00542685"/>
    <w:rsid w:val="0054268B"/>
    <w:rsid w:val="00543D40"/>
    <w:rsid w:val="00544817"/>
    <w:rsid w:val="005454E9"/>
    <w:rsid w:val="005457BD"/>
    <w:rsid w:val="005472B3"/>
    <w:rsid w:val="0054761F"/>
    <w:rsid w:val="0054774C"/>
    <w:rsid w:val="0055274B"/>
    <w:rsid w:val="00553C30"/>
    <w:rsid w:val="00555F50"/>
    <w:rsid w:val="005561B1"/>
    <w:rsid w:val="00556577"/>
    <w:rsid w:val="00557035"/>
    <w:rsid w:val="00557485"/>
    <w:rsid w:val="0056368C"/>
    <w:rsid w:val="0056389B"/>
    <w:rsid w:val="005646E1"/>
    <w:rsid w:val="005648AF"/>
    <w:rsid w:val="00565BA1"/>
    <w:rsid w:val="00565BAB"/>
    <w:rsid w:val="0057115E"/>
    <w:rsid w:val="0057151E"/>
    <w:rsid w:val="00574535"/>
    <w:rsid w:val="005753C5"/>
    <w:rsid w:val="00575F0F"/>
    <w:rsid w:val="005764EF"/>
    <w:rsid w:val="00577620"/>
    <w:rsid w:val="00577EAF"/>
    <w:rsid w:val="00582D18"/>
    <w:rsid w:val="00584A88"/>
    <w:rsid w:val="0058618D"/>
    <w:rsid w:val="00586DFF"/>
    <w:rsid w:val="005958F0"/>
    <w:rsid w:val="005961B5"/>
    <w:rsid w:val="00597BFC"/>
    <w:rsid w:val="005A0790"/>
    <w:rsid w:val="005A0BA0"/>
    <w:rsid w:val="005A0F40"/>
    <w:rsid w:val="005A1953"/>
    <w:rsid w:val="005A1C13"/>
    <w:rsid w:val="005A249F"/>
    <w:rsid w:val="005A3194"/>
    <w:rsid w:val="005A402F"/>
    <w:rsid w:val="005A5D89"/>
    <w:rsid w:val="005A72C3"/>
    <w:rsid w:val="005B0250"/>
    <w:rsid w:val="005B34FE"/>
    <w:rsid w:val="005B4013"/>
    <w:rsid w:val="005B4BEE"/>
    <w:rsid w:val="005B4F28"/>
    <w:rsid w:val="005B7EE0"/>
    <w:rsid w:val="005C0594"/>
    <w:rsid w:val="005C1408"/>
    <w:rsid w:val="005C45D5"/>
    <w:rsid w:val="005C65C9"/>
    <w:rsid w:val="005C69CC"/>
    <w:rsid w:val="005C6CC6"/>
    <w:rsid w:val="005C7E61"/>
    <w:rsid w:val="005D0525"/>
    <w:rsid w:val="005D07C5"/>
    <w:rsid w:val="005D194C"/>
    <w:rsid w:val="005D1E9C"/>
    <w:rsid w:val="005D42F6"/>
    <w:rsid w:val="005D4D6C"/>
    <w:rsid w:val="005D6B7C"/>
    <w:rsid w:val="005D6DB5"/>
    <w:rsid w:val="005E0240"/>
    <w:rsid w:val="005E2640"/>
    <w:rsid w:val="005E3BED"/>
    <w:rsid w:val="005E5DA9"/>
    <w:rsid w:val="005E601F"/>
    <w:rsid w:val="005E773D"/>
    <w:rsid w:val="005F16C0"/>
    <w:rsid w:val="005F27B4"/>
    <w:rsid w:val="005F2ADC"/>
    <w:rsid w:val="005F2C2D"/>
    <w:rsid w:val="005F3E5D"/>
    <w:rsid w:val="005F4992"/>
    <w:rsid w:val="005F53F2"/>
    <w:rsid w:val="005F7FDF"/>
    <w:rsid w:val="00601B0E"/>
    <w:rsid w:val="0060352B"/>
    <w:rsid w:val="006054EE"/>
    <w:rsid w:val="006061A8"/>
    <w:rsid w:val="006075F1"/>
    <w:rsid w:val="00607B25"/>
    <w:rsid w:val="00607E69"/>
    <w:rsid w:val="0061024F"/>
    <w:rsid w:val="006119C5"/>
    <w:rsid w:val="00611AC0"/>
    <w:rsid w:val="006130C0"/>
    <w:rsid w:val="00613A7E"/>
    <w:rsid w:val="00620173"/>
    <w:rsid w:val="006235CF"/>
    <w:rsid w:val="00631349"/>
    <w:rsid w:val="00631BDB"/>
    <w:rsid w:val="00631F51"/>
    <w:rsid w:val="00632B91"/>
    <w:rsid w:val="0063329E"/>
    <w:rsid w:val="006342E8"/>
    <w:rsid w:val="00635DCF"/>
    <w:rsid w:val="0063795E"/>
    <w:rsid w:val="0064134E"/>
    <w:rsid w:val="0064134F"/>
    <w:rsid w:val="00641626"/>
    <w:rsid w:val="00641BB3"/>
    <w:rsid w:val="0064374F"/>
    <w:rsid w:val="00643B38"/>
    <w:rsid w:val="00644AA8"/>
    <w:rsid w:val="00646B22"/>
    <w:rsid w:val="0064745C"/>
    <w:rsid w:val="006503CA"/>
    <w:rsid w:val="0065206C"/>
    <w:rsid w:val="00652B3D"/>
    <w:rsid w:val="00653E6B"/>
    <w:rsid w:val="00656EBC"/>
    <w:rsid w:val="00660048"/>
    <w:rsid w:val="0066255F"/>
    <w:rsid w:val="00662A5C"/>
    <w:rsid w:val="00662F5D"/>
    <w:rsid w:val="006630E7"/>
    <w:rsid w:val="0066423D"/>
    <w:rsid w:val="006653B8"/>
    <w:rsid w:val="0066577A"/>
    <w:rsid w:val="00666869"/>
    <w:rsid w:val="00666D99"/>
    <w:rsid w:val="006717CF"/>
    <w:rsid w:val="00672A99"/>
    <w:rsid w:val="00672ABD"/>
    <w:rsid w:val="00673583"/>
    <w:rsid w:val="00674469"/>
    <w:rsid w:val="0067528A"/>
    <w:rsid w:val="00675818"/>
    <w:rsid w:val="00680002"/>
    <w:rsid w:val="006801E1"/>
    <w:rsid w:val="00682086"/>
    <w:rsid w:val="006820A0"/>
    <w:rsid w:val="006849AE"/>
    <w:rsid w:val="00684BE6"/>
    <w:rsid w:val="00690305"/>
    <w:rsid w:val="006906B6"/>
    <w:rsid w:val="00690923"/>
    <w:rsid w:val="006920C2"/>
    <w:rsid w:val="00692C85"/>
    <w:rsid w:val="00693671"/>
    <w:rsid w:val="00697CF9"/>
    <w:rsid w:val="006A16BE"/>
    <w:rsid w:val="006A22CE"/>
    <w:rsid w:val="006A2B6D"/>
    <w:rsid w:val="006A3210"/>
    <w:rsid w:val="006A559C"/>
    <w:rsid w:val="006A55BB"/>
    <w:rsid w:val="006A6952"/>
    <w:rsid w:val="006A6DB9"/>
    <w:rsid w:val="006A7097"/>
    <w:rsid w:val="006B004D"/>
    <w:rsid w:val="006B0ACB"/>
    <w:rsid w:val="006B1DD7"/>
    <w:rsid w:val="006B2A55"/>
    <w:rsid w:val="006C09A2"/>
    <w:rsid w:val="006D063F"/>
    <w:rsid w:val="006D0F43"/>
    <w:rsid w:val="006D2308"/>
    <w:rsid w:val="006D26B4"/>
    <w:rsid w:val="006D486F"/>
    <w:rsid w:val="006E3012"/>
    <w:rsid w:val="006E397B"/>
    <w:rsid w:val="006E44AE"/>
    <w:rsid w:val="006F20FD"/>
    <w:rsid w:val="006F2127"/>
    <w:rsid w:val="006F345E"/>
    <w:rsid w:val="006F4BA8"/>
    <w:rsid w:val="006F5695"/>
    <w:rsid w:val="006F6284"/>
    <w:rsid w:val="006F6718"/>
    <w:rsid w:val="006F724B"/>
    <w:rsid w:val="006F757B"/>
    <w:rsid w:val="00700A33"/>
    <w:rsid w:val="00700EDF"/>
    <w:rsid w:val="00702884"/>
    <w:rsid w:val="007028BF"/>
    <w:rsid w:val="00703F2A"/>
    <w:rsid w:val="007042D7"/>
    <w:rsid w:val="00705429"/>
    <w:rsid w:val="00705EA4"/>
    <w:rsid w:val="007060F5"/>
    <w:rsid w:val="0070735B"/>
    <w:rsid w:val="00710F8B"/>
    <w:rsid w:val="007110FC"/>
    <w:rsid w:val="00711BB2"/>
    <w:rsid w:val="00711D10"/>
    <w:rsid w:val="00713B07"/>
    <w:rsid w:val="00713C42"/>
    <w:rsid w:val="00714316"/>
    <w:rsid w:val="00715411"/>
    <w:rsid w:val="00720035"/>
    <w:rsid w:val="007208BC"/>
    <w:rsid w:val="00720DBC"/>
    <w:rsid w:val="0072109B"/>
    <w:rsid w:val="0072123B"/>
    <w:rsid w:val="00721243"/>
    <w:rsid w:val="00723183"/>
    <w:rsid w:val="0072452A"/>
    <w:rsid w:val="00724DFC"/>
    <w:rsid w:val="00725AFD"/>
    <w:rsid w:val="00725AFF"/>
    <w:rsid w:val="0072717B"/>
    <w:rsid w:val="007272C2"/>
    <w:rsid w:val="0073035D"/>
    <w:rsid w:val="00731556"/>
    <w:rsid w:val="00731C25"/>
    <w:rsid w:val="007335CD"/>
    <w:rsid w:val="007342F5"/>
    <w:rsid w:val="007359A2"/>
    <w:rsid w:val="00737D23"/>
    <w:rsid w:val="00741DE0"/>
    <w:rsid w:val="0074280A"/>
    <w:rsid w:val="00743867"/>
    <w:rsid w:val="0074438C"/>
    <w:rsid w:val="007466D4"/>
    <w:rsid w:val="007477DB"/>
    <w:rsid w:val="00752AD4"/>
    <w:rsid w:val="0075386F"/>
    <w:rsid w:val="007543FE"/>
    <w:rsid w:val="00755E8A"/>
    <w:rsid w:val="00756762"/>
    <w:rsid w:val="007568D7"/>
    <w:rsid w:val="007572CC"/>
    <w:rsid w:val="00761298"/>
    <w:rsid w:val="00762E58"/>
    <w:rsid w:val="00767607"/>
    <w:rsid w:val="0077063F"/>
    <w:rsid w:val="0077206C"/>
    <w:rsid w:val="00772AEC"/>
    <w:rsid w:val="0077531C"/>
    <w:rsid w:val="007806CF"/>
    <w:rsid w:val="00780ACC"/>
    <w:rsid w:val="0078174D"/>
    <w:rsid w:val="0078284D"/>
    <w:rsid w:val="00783EF4"/>
    <w:rsid w:val="007861E5"/>
    <w:rsid w:val="007865F8"/>
    <w:rsid w:val="007879D3"/>
    <w:rsid w:val="00787E35"/>
    <w:rsid w:val="00791265"/>
    <w:rsid w:val="007914AF"/>
    <w:rsid w:val="00794BA9"/>
    <w:rsid w:val="00794E41"/>
    <w:rsid w:val="007954E9"/>
    <w:rsid w:val="0079E03F"/>
    <w:rsid w:val="007A0FCA"/>
    <w:rsid w:val="007A1B29"/>
    <w:rsid w:val="007A1C89"/>
    <w:rsid w:val="007A1C8A"/>
    <w:rsid w:val="007A1D44"/>
    <w:rsid w:val="007A2068"/>
    <w:rsid w:val="007A78C5"/>
    <w:rsid w:val="007A7EF6"/>
    <w:rsid w:val="007B0B93"/>
    <w:rsid w:val="007B2E43"/>
    <w:rsid w:val="007B2FFE"/>
    <w:rsid w:val="007B5E5C"/>
    <w:rsid w:val="007C0547"/>
    <w:rsid w:val="007C10DA"/>
    <w:rsid w:val="007C309C"/>
    <w:rsid w:val="007C68A4"/>
    <w:rsid w:val="007D006A"/>
    <w:rsid w:val="007D030F"/>
    <w:rsid w:val="007D04C0"/>
    <w:rsid w:val="007D0FDA"/>
    <w:rsid w:val="007D1132"/>
    <w:rsid w:val="007D166A"/>
    <w:rsid w:val="007D19F9"/>
    <w:rsid w:val="007D1D58"/>
    <w:rsid w:val="007D2FA4"/>
    <w:rsid w:val="007D4B8B"/>
    <w:rsid w:val="007D58A3"/>
    <w:rsid w:val="007E0B4D"/>
    <w:rsid w:val="007E4EF9"/>
    <w:rsid w:val="007E7B25"/>
    <w:rsid w:val="007F02E2"/>
    <w:rsid w:val="007F2E6A"/>
    <w:rsid w:val="007F3359"/>
    <w:rsid w:val="007F3B4C"/>
    <w:rsid w:val="007F61AD"/>
    <w:rsid w:val="00801648"/>
    <w:rsid w:val="0080299E"/>
    <w:rsid w:val="00804948"/>
    <w:rsid w:val="00804B9F"/>
    <w:rsid w:val="0080575E"/>
    <w:rsid w:val="008062C1"/>
    <w:rsid w:val="008065F4"/>
    <w:rsid w:val="00812529"/>
    <w:rsid w:val="00813434"/>
    <w:rsid w:val="0081463D"/>
    <w:rsid w:val="00815ACF"/>
    <w:rsid w:val="008162C7"/>
    <w:rsid w:val="008172F7"/>
    <w:rsid w:val="008176DD"/>
    <w:rsid w:val="00821D82"/>
    <w:rsid w:val="0082533B"/>
    <w:rsid w:val="00826A67"/>
    <w:rsid w:val="0083139C"/>
    <w:rsid w:val="00831B3A"/>
    <w:rsid w:val="00832DC7"/>
    <w:rsid w:val="00833C40"/>
    <w:rsid w:val="00835001"/>
    <w:rsid w:val="00844BB0"/>
    <w:rsid w:val="00845FD2"/>
    <w:rsid w:val="00846FFE"/>
    <w:rsid w:val="008473C3"/>
    <w:rsid w:val="00847B9B"/>
    <w:rsid w:val="0085177D"/>
    <w:rsid w:val="00853B50"/>
    <w:rsid w:val="00854008"/>
    <w:rsid w:val="00854CB5"/>
    <w:rsid w:val="00854D5B"/>
    <w:rsid w:val="00855E25"/>
    <w:rsid w:val="00856917"/>
    <w:rsid w:val="00856FB1"/>
    <w:rsid w:val="0086025C"/>
    <w:rsid w:val="0086192F"/>
    <w:rsid w:val="00862B0A"/>
    <w:rsid w:val="0086310F"/>
    <w:rsid w:val="008634E7"/>
    <w:rsid w:val="008646C3"/>
    <w:rsid w:val="00865DB7"/>
    <w:rsid w:val="00867C1B"/>
    <w:rsid w:val="00870834"/>
    <w:rsid w:val="00872E83"/>
    <w:rsid w:val="00875D96"/>
    <w:rsid w:val="00876143"/>
    <w:rsid w:val="0087641E"/>
    <w:rsid w:val="00877310"/>
    <w:rsid w:val="00880812"/>
    <w:rsid w:val="00881165"/>
    <w:rsid w:val="00883773"/>
    <w:rsid w:val="0088399A"/>
    <w:rsid w:val="00885AC6"/>
    <w:rsid w:val="008874E4"/>
    <w:rsid w:val="0089068A"/>
    <w:rsid w:val="00892E1E"/>
    <w:rsid w:val="00895A74"/>
    <w:rsid w:val="00897B50"/>
    <w:rsid w:val="00897F00"/>
    <w:rsid w:val="008A010B"/>
    <w:rsid w:val="008A049F"/>
    <w:rsid w:val="008A06D8"/>
    <w:rsid w:val="008A2518"/>
    <w:rsid w:val="008A2523"/>
    <w:rsid w:val="008A2C2D"/>
    <w:rsid w:val="008A4E23"/>
    <w:rsid w:val="008A57DB"/>
    <w:rsid w:val="008B074F"/>
    <w:rsid w:val="008B0D37"/>
    <w:rsid w:val="008B115D"/>
    <w:rsid w:val="008B11BE"/>
    <w:rsid w:val="008B1796"/>
    <w:rsid w:val="008B2A5E"/>
    <w:rsid w:val="008B423F"/>
    <w:rsid w:val="008B6822"/>
    <w:rsid w:val="008C032F"/>
    <w:rsid w:val="008C06B5"/>
    <w:rsid w:val="008C2323"/>
    <w:rsid w:val="008C2EBB"/>
    <w:rsid w:val="008C3073"/>
    <w:rsid w:val="008C3259"/>
    <w:rsid w:val="008C4CAA"/>
    <w:rsid w:val="008C56BA"/>
    <w:rsid w:val="008C5D25"/>
    <w:rsid w:val="008C6DF1"/>
    <w:rsid w:val="008D03D2"/>
    <w:rsid w:val="008D18D9"/>
    <w:rsid w:val="008D2025"/>
    <w:rsid w:val="008D37FE"/>
    <w:rsid w:val="008D4F27"/>
    <w:rsid w:val="008D6364"/>
    <w:rsid w:val="008E0F97"/>
    <w:rsid w:val="008E27D1"/>
    <w:rsid w:val="008E2DE3"/>
    <w:rsid w:val="008E41FD"/>
    <w:rsid w:val="008E595A"/>
    <w:rsid w:val="008E5CF0"/>
    <w:rsid w:val="008E67FD"/>
    <w:rsid w:val="008F1169"/>
    <w:rsid w:val="008F1BAE"/>
    <w:rsid w:val="008F2042"/>
    <w:rsid w:val="008F665A"/>
    <w:rsid w:val="009022FB"/>
    <w:rsid w:val="0090276D"/>
    <w:rsid w:val="00902FC4"/>
    <w:rsid w:val="00903E98"/>
    <w:rsid w:val="009048FF"/>
    <w:rsid w:val="00906FA0"/>
    <w:rsid w:val="00910120"/>
    <w:rsid w:val="00911CBE"/>
    <w:rsid w:val="00912030"/>
    <w:rsid w:val="009124C2"/>
    <w:rsid w:val="00912744"/>
    <w:rsid w:val="00912FFC"/>
    <w:rsid w:val="00917803"/>
    <w:rsid w:val="009262C6"/>
    <w:rsid w:val="00926BCD"/>
    <w:rsid w:val="00927355"/>
    <w:rsid w:val="00927493"/>
    <w:rsid w:val="00927BF7"/>
    <w:rsid w:val="00931CDC"/>
    <w:rsid w:val="00931D41"/>
    <w:rsid w:val="00932C78"/>
    <w:rsid w:val="0093355B"/>
    <w:rsid w:val="00934198"/>
    <w:rsid w:val="0093635E"/>
    <w:rsid w:val="009363A0"/>
    <w:rsid w:val="00937D19"/>
    <w:rsid w:val="00940338"/>
    <w:rsid w:val="009417B1"/>
    <w:rsid w:val="00941B15"/>
    <w:rsid w:val="0094249D"/>
    <w:rsid w:val="009427AE"/>
    <w:rsid w:val="00942C02"/>
    <w:rsid w:val="009433A0"/>
    <w:rsid w:val="00943ED1"/>
    <w:rsid w:val="00944AEF"/>
    <w:rsid w:val="00950F19"/>
    <w:rsid w:val="009531E1"/>
    <w:rsid w:val="00953C7E"/>
    <w:rsid w:val="00956CAD"/>
    <w:rsid w:val="0095742D"/>
    <w:rsid w:val="00960242"/>
    <w:rsid w:val="00960524"/>
    <w:rsid w:val="00962474"/>
    <w:rsid w:val="00964B2B"/>
    <w:rsid w:val="009665E2"/>
    <w:rsid w:val="009667F2"/>
    <w:rsid w:val="00966970"/>
    <w:rsid w:val="00966A63"/>
    <w:rsid w:val="0096763E"/>
    <w:rsid w:val="00967A3C"/>
    <w:rsid w:val="009748F5"/>
    <w:rsid w:val="00974C78"/>
    <w:rsid w:val="00975E71"/>
    <w:rsid w:val="00980452"/>
    <w:rsid w:val="0098144B"/>
    <w:rsid w:val="009815FA"/>
    <w:rsid w:val="00981B80"/>
    <w:rsid w:val="00981DDD"/>
    <w:rsid w:val="0098287B"/>
    <w:rsid w:val="00982D21"/>
    <w:rsid w:val="00983EFA"/>
    <w:rsid w:val="00984E96"/>
    <w:rsid w:val="009906CE"/>
    <w:rsid w:val="00991A89"/>
    <w:rsid w:val="0099351E"/>
    <w:rsid w:val="0099377B"/>
    <w:rsid w:val="00993A7B"/>
    <w:rsid w:val="00993D50"/>
    <w:rsid w:val="00996A93"/>
    <w:rsid w:val="00997A16"/>
    <w:rsid w:val="009A2D3A"/>
    <w:rsid w:val="009A3567"/>
    <w:rsid w:val="009B020B"/>
    <w:rsid w:val="009B4AE8"/>
    <w:rsid w:val="009B4F6E"/>
    <w:rsid w:val="009B529B"/>
    <w:rsid w:val="009B74BC"/>
    <w:rsid w:val="009C1B60"/>
    <w:rsid w:val="009C323F"/>
    <w:rsid w:val="009C6852"/>
    <w:rsid w:val="009C7359"/>
    <w:rsid w:val="009C756F"/>
    <w:rsid w:val="009C7D51"/>
    <w:rsid w:val="009D0666"/>
    <w:rsid w:val="009D22CE"/>
    <w:rsid w:val="009D2FA5"/>
    <w:rsid w:val="009D48E5"/>
    <w:rsid w:val="009D7EB8"/>
    <w:rsid w:val="009E05B1"/>
    <w:rsid w:val="009E3FF1"/>
    <w:rsid w:val="009E4957"/>
    <w:rsid w:val="009E49BC"/>
    <w:rsid w:val="009E4B33"/>
    <w:rsid w:val="009E5F1B"/>
    <w:rsid w:val="009F3076"/>
    <w:rsid w:val="009F327D"/>
    <w:rsid w:val="009F3FF1"/>
    <w:rsid w:val="00A01EDF"/>
    <w:rsid w:val="00A01EFE"/>
    <w:rsid w:val="00A01F3D"/>
    <w:rsid w:val="00A07C0B"/>
    <w:rsid w:val="00A07E0C"/>
    <w:rsid w:val="00A15F3B"/>
    <w:rsid w:val="00A173A7"/>
    <w:rsid w:val="00A17854"/>
    <w:rsid w:val="00A17998"/>
    <w:rsid w:val="00A22D22"/>
    <w:rsid w:val="00A32171"/>
    <w:rsid w:val="00A32ACF"/>
    <w:rsid w:val="00A33BCD"/>
    <w:rsid w:val="00A349C4"/>
    <w:rsid w:val="00A422D5"/>
    <w:rsid w:val="00A43042"/>
    <w:rsid w:val="00A4512C"/>
    <w:rsid w:val="00A45185"/>
    <w:rsid w:val="00A45852"/>
    <w:rsid w:val="00A4694E"/>
    <w:rsid w:val="00A46DDB"/>
    <w:rsid w:val="00A50893"/>
    <w:rsid w:val="00A517FC"/>
    <w:rsid w:val="00A54C61"/>
    <w:rsid w:val="00A55136"/>
    <w:rsid w:val="00A55DEB"/>
    <w:rsid w:val="00A5678F"/>
    <w:rsid w:val="00A5779F"/>
    <w:rsid w:val="00A61C8D"/>
    <w:rsid w:val="00A6378C"/>
    <w:rsid w:val="00A64C20"/>
    <w:rsid w:val="00A65BEF"/>
    <w:rsid w:val="00A65E77"/>
    <w:rsid w:val="00A71D47"/>
    <w:rsid w:val="00A7661C"/>
    <w:rsid w:val="00A7731B"/>
    <w:rsid w:val="00A80072"/>
    <w:rsid w:val="00A80E2F"/>
    <w:rsid w:val="00A82710"/>
    <w:rsid w:val="00A83F04"/>
    <w:rsid w:val="00A851C4"/>
    <w:rsid w:val="00A86A9B"/>
    <w:rsid w:val="00A86CB6"/>
    <w:rsid w:val="00A876D5"/>
    <w:rsid w:val="00A904A1"/>
    <w:rsid w:val="00A9210B"/>
    <w:rsid w:val="00A95886"/>
    <w:rsid w:val="00A963F2"/>
    <w:rsid w:val="00A973BC"/>
    <w:rsid w:val="00A9799B"/>
    <w:rsid w:val="00A97C42"/>
    <w:rsid w:val="00AA0C18"/>
    <w:rsid w:val="00AA37D3"/>
    <w:rsid w:val="00AA5BD2"/>
    <w:rsid w:val="00AB0784"/>
    <w:rsid w:val="00AB0D25"/>
    <w:rsid w:val="00AB1358"/>
    <w:rsid w:val="00AB3A18"/>
    <w:rsid w:val="00AB4C8A"/>
    <w:rsid w:val="00AB60E9"/>
    <w:rsid w:val="00AC1AC8"/>
    <w:rsid w:val="00AC505A"/>
    <w:rsid w:val="00AD3795"/>
    <w:rsid w:val="00AD426D"/>
    <w:rsid w:val="00AD5397"/>
    <w:rsid w:val="00AD6FDC"/>
    <w:rsid w:val="00AD78E0"/>
    <w:rsid w:val="00AE1489"/>
    <w:rsid w:val="00AE2862"/>
    <w:rsid w:val="00AE2C7C"/>
    <w:rsid w:val="00AE4BB8"/>
    <w:rsid w:val="00AE7BAD"/>
    <w:rsid w:val="00AF031E"/>
    <w:rsid w:val="00AF09A2"/>
    <w:rsid w:val="00AF3145"/>
    <w:rsid w:val="00AF41D0"/>
    <w:rsid w:val="00AF4DE0"/>
    <w:rsid w:val="00AF5D23"/>
    <w:rsid w:val="00B01630"/>
    <w:rsid w:val="00B044AA"/>
    <w:rsid w:val="00B04534"/>
    <w:rsid w:val="00B045E3"/>
    <w:rsid w:val="00B05F38"/>
    <w:rsid w:val="00B10C5B"/>
    <w:rsid w:val="00B128A2"/>
    <w:rsid w:val="00B164EC"/>
    <w:rsid w:val="00B22F67"/>
    <w:rsid w:val="00B26EDF"/>
    <w:rsid w:val="00B33081"/>
    <w:rsid w:val="00B35C30"/>
    <w:rsid w:val="00B4070D"/>
    <w:rsid w:val="00B407A5"/>
    <w:rsid w:val="00B41665"/>
    <w:rsid w:val="00B41D02"/>
    <w:rsid w:val="00B423E1"/>
    <w:rsid w:val="00B4287E"/>
    <w:rsid w:val="00B4291B"/>
    <w:rsid w:val="00B43E59"/>
    <w:rsid w:val="00B4456F"/>
    <w:rsid w:val="00B45B29"/>
    <w:rsid w:val="00B45B4E"/>
    <w:rsid w:val="00B471E8"/>
    <w:rsid w:val="00B47C63"/>
    <w:rsid w:val="00B50A9E"/>
    <w:rsid w:val="00B51040"/>
    <w:rsid w:val="00B51904"/>
    <w:rsid w:val="00B53507"/>
    <w:rsid w:val="00B53FB2"/>
    <w:rsid w:val="00B55C53"/>
    <w:rsid w:val="00B564EE"/>
    <w:rsid w:val="00B57F66"/>
    <w:rsid w:val="00B60E6C"/>
    <w:rsid w:val="00B61CDC"/>
    <w:rsid w:val="00B63B05"/>
    <w:rsid w:val="00B64CB5"/>
    <w:rsid w:val="00B64EC7"/>
    <w:rsid w:val="00B65D6B"/>
    <w:rsid w:val="00B6609E"/>
    <w:rsid w:val="00B678F6"/>
    <w:rsid w:val="00B67DB1"/>
    <w:rsid w:val="00B70123"/>
    <w:rsid w:val="00B720B3"/>
    <w:rsid w:val="00B733BC"/>
    <w:rsid w:val="00B7391A"/>
    <w:rsid w:val="00B759A6"/>
    <w:rsid w:val="00B76903"/>
    <w:rsid w:val="00B817B1"/>
    <w:rsid w:val="00B830E2"/>
    <w:rsid w:val="00B83820"/>
    <w:rsid w:val="00B839F0"/>
    <w:rsid w:val="00B85FD7"/>
    <w:rsid w:val="00B86F73"/>
    <w:rsid w:val="00B86F8A"/>
    <w:rsid w:val="00B8729E"/>
    <w:rsid w:val="00B87474"/>
    <w:rsid w:val="00B90F9B"/>
    <w:rsid w:val="00B90FAF"/>
    <w:rsid w:val="00B91ADE"/>
    <w:rsid w:val="00B94795"/>
    <w:rsid w:val="00B9552C"/>
    <w:rsid w:val="00B961C0"/>
    <w:rsid w:val="00B9666C"/>
    <w:rsid w:val="00B96831"/>
    <w:rsid w:val="00B96F00"/>
    <w:rsid w:val="00B97EB4"/>
    <w:rsid w:val="00BA17DC"/>
    <w:rsid w:val="00BA1B05"/>
    <w:rsid w:val="00BA2812"/>
    <w:rsid w:val="00BA3B9A"/>
    <w:rsid w:val="00BA4D8C"/>
    <w:rsid w:val="00BA558E"/>
    <w:rsid w:val="00BA7239"/>
    <w:rsid w:val="00BB05A1"/>
    <w:rsid w:val="00BB0985"/>
    <w:rsid w:val="00BB6D8C"/>
    <w:rsid w:val="00BB77BF"/>
    <w:rsid w:val="00BC2BEF"/>
    <w:rsid w:val="00BC3896"/>
    <w:rsid w:val="00BC5FBE"/>
    <w:rsid w:val="00BC6643"/>
    <w:rsid w:val="00BC6E2D"/>
    <w:rsid w:val="00BC6E7E"/>
    <w:rsid w:val="00BC78CD"/>
    <w:rsid w:val="00BD1EB8"/>
    <w:rsid w:val="00BD2CDE"/>
    <w:rsid w:val="00BD2E06"/>
    <w:rsid w:val="00BD41DD"/>
    <w:rsid w:val="00BE08C9"/>
    <w:rsid w:val="00BE2A03"/>
    <w:rsid w:val="00BE55CC"/>
    <w:rsid w:val="00BE620B"/>
    <w:rsid w:val="00BE7808"/>
    <w:rsid w:val="00BE7F9F"/>
    <w:rsid w:val="00BF16F3"/>
    <w:rsid w:val="00BF263C"/>
    <w:rsid w:val="00BF39AB"/>
    <w:rsid w:val="00C0711E"/>
    <w:rsid w:val="00C07313"/>
    <w:rsid w:val="00C11243"/>
    <w:rsid w:val="00C11403"/>
    <w:rsid w:val="00C125FD"/>
    <w:rsid w:val="00C13AD7"/>
    <w:rsid w:val="00C13DCF"/>
    <w:rsid w:val="00C14668"/>
    <w:rsid w:val="00C16B61"/>
    <w:rsid w:val="00C17A8C"/>
    <w:rsid w:val="00C17F1E"/>
    <w:rsid w:val="00C20EA4"/>
    <w:rsid w:val="00C219AA"/>
    <w:rsid w:val="00C21FA2"/>
    <w:rsid w:val="00C23A1E"/>
    <w:rsid w:val="00C26AD0"/>
    <w:rsid w:val="00C27BFA"/>
    <w:rsid w:val="00C27E08"/>
    <w:rsid w:val="00C306E2"/>
    <w:rsid w:val="00C31217"/>
    <w:rsid w:val="00C322CC"/>
    <w:rsid w:val="00C332F0"/>
    <w:rsid w:val="00C33A64"/>
    <w:rsid w:val="00C35471"/>
    <w:rsid w:val="00C3563E"/>
    <w:rsid w:val="00C37CBA"/>
    <w:rsid w:val="00C420D3"/>
    <w:rsid w:val="00C429DF"/>
    <w:rsid w:val="00C43CCA"/>
    <w:rsid w:val="00C440AC"/>
    <w:rsid w:val="00C447CE"/>
    <w:rsid w:val="00C470D4"/>
    <w:rsid w:val="00C4711A"/>
    <w:rsid w:val="00C4A78D"/>
    <w:rsid w:val="00C503B7"/>
    <w:rsid w:val="00C51ABD"/>
    <w:rsid w:val="00C53E2D"/>
    <w:rsid w:val="00C53FAB"/>
    <w:rsid w:val="00C566EB"/>
    <w:rsid w:val="00C56FB1"/>
    <w:rsid w:val="00C578F8"/>
    <w:rsid w:val="00C57C8B"/>
    <w:rsid w:val="00C6246F"/>
    <w:rsid w:val="00C625B8"/>
    <w:rsid w:val="00C62686"/>
    <w:rsid w:val="00C63FD1"/>
    <w:rsid w:val="00C64B82"/>
    <w:rsid w:val="00C64CAF"/>
    <w:rsid w:val="00C66318"/>
    <w:rsid w:val="00C7078D"/>
    <w:rsid w:val="00C717E8"/>
    <w:rsid w:val="00C71CC7"/>
    <w:rsid w:val="00C74C90"/>
    <w:rsid w:val="00C74EAF"/>
    <w:rsid w:val="00C759F6"/>
    <w:rsid w:val="00C75E8B"/>
    <w:rsid w:val="00C75FC0"/>
    <w:rsid w:val="00C7702F"/>
    <w:rsid w:val="00C81F16"/>
    <w:rsid w:val="00C8211A"/>
    <w:rsid w:val="00C850DC"/>
    <w:rsid w:val="00C851E0"/>
    <w:rsid w:val="00C854F2"/>
    <w:rsid w:val="00C863F9"/>
    <w:rsid w:val="00C937AB"/>
    <w:rsid w:val="00C945AD"/>
    <w:rsid w:val="00C9627F"/>
    <w:rsid w:val="00C96311"/>
    <w:rsid w:val="00C96DA7"/>
    <w:rsid w:val="00C9737A"/>
    <w:rsid w:val="00CA0308"/>
    <w:rsid w:val="00CA1F53"/>
    <w:rsid w:val="00CA2E8D"/>
    <w:rsid w:val="00CA3411"/>
    <w:rsid w:val="00CA5C7A"/>
    <w:rsid w:val="00CA615B"/>
    <w:rsid w:val="00CA70D4"/>
    <w:rsid w:val="00CB0587"/>
    <w:rsid w:val="00CB0D34"/>
    <w:rsid w:val="00CB2485"/>
    <w:rsid w:val="00CB26B9"/>
    <w:rsid w:val="00CB3B09"/>
    <w:rsid w:val="00CB40C4"/>
    <w:rsid w:val="00CB5D25"/>
    <w:rsid w:val="00CB77F7"/>
    <w:rsid w:val="00CB78CE"/>
    <w:rsid w:val="00CC055A"/>
    <w:rsid w:val="00CC14A6"/>
    <w:rsid w:val="00CC1D28"/>
    <w:rsid w:val="00CC2029"/>
    <w:rsid w:val="00CC3B90"/>
    <w:rsid w:val="00CC7D0A"/>
    <w:rsid w:val="00CC7D96"/>
    <w:rsid w:val="00CD1B59"/>
    <w:rsid w:val="00CD2B0E"/>
    <w:rsid w:val="00CD32EE"/>
    <w:rsid w:val="00CD3584"/>
    <w:rsid w:val="00CD5BB4"/>
    <w:rsid w:val="00CD723D"/>
    <w:rsid w:val="00CE0536"/>
    <w:rsid w:val="00CE0BF5"/>
    <w:rsid w:val="00CE1507"/>
    <w:rsid w:val="00CE6ADD"/>
    <w:rsid w:val="00CE6BCC"/>
    <w:rsid w:val="00CE6DF8"/>
    <w:rsid w:val="00CE7C34"/>
    <w:rsid w:val="00CF05F9"/>
    <w:rsid w:val="00CF07C0"/>
    <w:rsid w:val="00CF2445"/>
    <w:rsid w:val="00CF2772"/>
    <w:rsid w:val="00CF3EB9"/>
    <w:rsid w:val="00CF4557"/>
    <w:rsid w:val="00CF4F39"/>
    <w:rsid w:val="00CF5382"/>
    <w:rsid w:val="00D00454"/>
    <w:rsid w:val="00D007A2"/>
    <w:rsid w:val="00D01EE4"/>
    <w:rsid w:val="00D05A5F"/>
    <w:rsid w:val="00D063D9"/>
    <w:rsid w:val="00D06589"/>
    <w:rsid w:val="00D11909"/>
    <w:rsid w:val="00D11B19"/>
    <w:rsid w:val="00D14F84"/>
    <w:rsid w:val="00D21E54"/>
    <w:rsid w:val="00D232AA"/>
    <w:rsid w:val="00D23474"/>
    <w:rsid w:val="00D2430B"/>
    <w:rsid w:val="00D24E55"/>
    <w:rsid w:val="00D2664A"/>
    <w:rsid w:val="00D26BFB"/>
    <w:rsid w:val="00D317E8"/>
    <w:rsid w:val="00D32471"/>
    <w:rsid w:val="00D36A94"/>
    <w:rsid w:val="00D3706E"/>
    <w:rsid w:val="00D37B7A"/>
    <w:rsid w:val="00D40695"/>
    <w:rsid w:val="00D40885"/>
    <w:rsid w:val="00D40E89"/>
    <w:rsid w:val="00D40FBE"/>
    <w:rsid w:val="00D4137B"/>
    <w:rsid w:val="00D418C3"/>
    <w:rsid w:val="00D41B55"/>
    <w:rsid w:val="00D41F73"/>
    <w:rsid w:val="00D4392D"/>
    <w:rsid w:val="00D43F85"/>
    <w:rsid w:val="00D47B37"/>
    <w:rsid w:val="00D53D59"/>
    <w:rsid w:val="00D550A9"/>
    <w:rsid w:val="00D55BD6"/>
    <w:rsid w:val="00D67324"/>
    <w:rsid w:val="00D67DF4"/>
    <w:rsid w:val="00D72AFC"/>
    <w:rsid w:val="00D74060"/>
    <w:rsid w:val="00D74230"/>
    <w:rsid w:val="00D748BB"/>
    <w:rsid w:val="00D81D23"/>
    <w:rsid w:val="00D821C3"/>
    <w:rsid w:val="00D839FC"/>
    <w:rsid w:val="00D8500E"/>
    <w:rsid w:val="00D90856"/>
    <w:rsid w:val="00D920A8"/>
    <w:rsid w:val="00D922FB"/>
    <w:rsid w:val="00D92416"/>
    <w:rsid w:val="00D93159"/>
    <w:rsid w:val="00D93246"/>
    <w:rsid w:val="00D94D27"/>
    <w:rsid w:val="00D95975"/>
    <w:rsid w:val="00D95DDA"/>
    <w:rsid w:val="00D9626B"/>
    <w:rsid w:val="00D966E3"/>
    <w:rsid w:val="00D96CEC"/>
    <w:rsid w:val="00DA040C"/>
    <w:rsid w:val="00DA3010"/>
    <w:rsid w:val="00DA4519"/>
    <w:rsid w:val="00DB2AD0"/>
    <w:rsid w:val="00DB2CA8"/>
    <w:rsid w:val="00DB34A4"/>
    <w:rsid w:val="00DB49A3"/>
    <w:rsid w:val="00DB4DDF"/>
    <w:rsid w:val="00DB660A"/>
    <w:rsid w:val="00DC0F75"/>
    <w:rsid w:val="00DC12DF"/>
    <w:rsid w:val="00DC1A27"/>
    <w:rsid w:val="00DC24F1"/>
    <w:rsid w:val="00DC5092"/>
    <w:rsid w:val="00DC7BC9"/>
    <w:rsid w:val="00DD030F"/>
    <w:rsid w:val="00DD0D75"/>
    <w:rsid w:val="00DD190A"/>
    <w:rsid w:val="00DD21B1"/>
    <w:rsid w:val="00DD29D5"/>
    <w:rsid w:val="00DD36E5"/>
    <w:rsid w:val="00DD38A9"/>
    <w:rsid w:val="00DD4AAF"/>
    <w:rsid w:val="00DD63C6"/>
    <w:rsid w:val="00DD6C45"/>
    <w:rsid w:val="00DD6E4E"/>
    <w:rsid w:val="00DD6F46"/>
    <w:rsid w:val="00DE0615"/>
    <w:rsid w:val="00DE0BB8"/>
    <w:rsid w:val="00DE32C8"/>
    <w:rsid w:val="00DE355F"/>
    <w:rsid w:val="00DE562B"/>
    <w:rsid w:val="00DE5CAC"/>
    <w:rsid w:val="00DE6FA8"/>
    <w:rsid w:val="00DE7CB0"/>
    <w:rsid w:val="00DF03E6"/>
    <w:rsid w:val="00DF2C9D"/>
    <w:rsid w:val="00DF2FA2"/>
    <w:rsid w:val="00DF36A8"/>
    <w:rsid w:val="00DF409D"/>
    <w:rsid w:val="00DF476A"/>
    <w:rsid w:val="00DF4EBC"/>
    <w:rsid w:val="00DF667E"/>
    <w:rsid w:val="00DF6DEB"/>
    <w:rsid w:val="00DF7BAA"/>
    <w:rsid w:val="00E02504"/>
    <w:rsid w:val="00E02F7A"/>
    <w:rsid w:val="00E034C6"/>
    <w:rsid w:val="00E071AE"/>
    <w:rsid w:val="00E10480"/>
    <w:rsid w:val="00E11D56"/>
    <w:rsid w:val="00E12204"/>
    <w:rsid w:val="00E13B8A"/>
    <w:rsid w:val="00E148EA"/>
    <w:rsid w:val="00E1527E"/>
    <w:rsid w:val="00E153B1"/>
    <w:rsid w:val="00E22088"/>
    <w:rsid w:val="00E230D3"/>
    <w:rsid w:val="00E23F7B"/>
    <w:rsid w:val="00E255BE"/>
    <w:rsid w:val="00E2783C"/>
    <w:rsid w:val="00E31526"/>
    <w:rsid w:val="00E31B37"/>
    <w:rsid w:val="00E32E09"/>
    <w:rsid w:val="00E35CE4"/>
    <w:rsid w:val="00E35E57"/>
    <w:rsid w:val="00E36665"/>
    <w:rsid w:val="00E36DA3"/>
    <w:rsid w:val="00E37473"/>
    <w:rsid w:val="00E37AA6"/>
    <w:rsid w:val="00E4231A"/>
    <w:rsid w:val="00E4687D"/>
    <w:rsid w:val="00E47845"/>
    <w:rsid w:val="00E47FB7"/>
    <w:rsid w:val="00E51850"/>
    <w:rsid w:val="00E51BD4"/>
    <w:rsid w:val="00E51D14"/>
    <w:rsid w:val="00E521F7"/>
    <w:rsid w:val="00E53E3B"/>
    <w:rsid w:val="00E56DE0"/>
    <w:rsid w:val="00E5720F"/>
    <w:rsid w:val="00E61F7E"/>
    <w:rsid w:val="00E62862"/>
    <w:rsid w:val="00E64A47"/>
    <w:rsid w:val="00E6526F"/>
    <w:rsid w:val="00E6530C"/>
    <w:rsid w:val="00E66106"/>
    <w:rsid w:val="00E66351"/>
    <w:rsid w:val="00E67F8E"/>
    <w:rsid w:val="00E72788"/>
    <w:rsid w:val="00E72CB7"/>
    <w:rsid w:val="00E73E27"/>
    <w:rsid w:val="00E7440E"/>
    <w:rsid w:val="00E7564F"/>
    <w:rsid w:val="00E7658D"/>
    <w:rsid w:val="00E766B1"/>
    <w:rsid w:val="00E76BB1"/>
    <w:rsid w:val="00E8144E"/>
    <w:rsid w:val="00E82DBA"/>
    <w:rsid w:val="00E84759"/>
    <w:rsid w:val="00E85BA3"/>
    <w:rsid w:val="00E864D2"/>
    <w:rsid w:val="00E877B4"/>
    <w:rsid w:val="00E905A2"/>
    <w:rsid w:val="00E90E19"/>
    <w:rsid w:val="00E91AB8"/>
    <w:rsid w:val="00E939C0"/>
    <w:rsid w:val="00E947F9"/>
    <w:rsid w:val="00E96773"/>
    <w:rsid w:val="00EA1D0B"/>
    <w:rsid w:val="00EA215F"/>
    <w:rsid w:val="00EA25E3"/>
    <w:rsid w:val="00EA2DCF"/>
    <w:rsid w:val="00EA32C7"/>
    <w:rsid w:val="00EA3C4C"/>
    <w:rsid w:val="00EA515F"/>
    <w:rsid w:val="00EA5269"/>
    <w:rsid w:val="00EA6350"/>
    <w:rsid w:val="00EA6577"/>
    <w:rsid w:val="00EA75C8"/>
    <w:rsid w:val="00EA796F"/>
    <w:rsid w:val="00EA79E3"/>
    <w:rsid w:val="00EB035A"/>
    <w:rsid w:val="00EB13E5"/>
    <w:rsid w:val="00EB14B1"/>
    <w:rsid w:val="00EB18AF"/>
    <w:rsid w:val="00EB3C80"/>
    <w:rsid w:val="00EB7226"/>
    <w:rsid w:val="00EB7795"/>
    <w:rsid w:val="00EB7C73"/>
    <w:rsid w:val="00EC0A85"/>
    <w:rsid w:val="00EC62D2"/>
    <w:rsid w:val="00EC6ACB"/>
    <w:rsid w:val="00EC736E"/>
    <w:rsid w:val="00ED2A2C"/>
    <w:rsid w:val="00EE0180"/>
    <w:rsid w:val="00EE6291"/>
    <w:rsid w:val="00EF0F1D"/>
    <w:rsid w:val="00EF29BE"/>
    <w:rsid w:val="00EF3D8F"/>
    <w:rsid w:val="00EF46C0"/>
    <w:rsid w:val="00EF4C76"/>
    <w:rsid w:val="00EF6644"/>
    <w:rsid w:val="00EF79E5"/>
    <w:rsid w:val="00EF7EBA"/>
    <w:rsid w:val="00F0163F"/>
    <w:rsid w:val="00F016CC"/>
    <w:rsid w:val="00F0297F"/>
    <w:rsid w:val="00F02B05"/>
    <w:rsid w:val="00F0345B"/>
    <w:rsid w:val="00F04085"/>
    <w:rsid w:val="00F053F3"/>
    <w:rsid w:val="00F06C9C"/>
    <w:rsid w:val="00F11117"/>
    <w:rsid w:val="00F11796"/>
    <w:rsid w:val="00F15D6E"/>
    <w:rsid w:val="00F24903"/>
    <w:rsid w:val="00F25443"/>
    <w:rsid w:val="00F27F09"/>
    <w:rsid w:val="00F30084"/>
    <w:rsid w:val="00F30C37"/>
    <w:rsid w:val="00F30C78"/>
    <w:rsid w:val="00F31837"/>
    <w:rsid w:val="00F335AE"/>
    <w:rsid w:val="00F3377D"/>
    <w:rsid w:val="00F379B3"/>
    <w:rsid w:val="00F37C5F"/>
    <w:rsid w:val="00F42973"/>
    <w:rsid w:val="00F435C0"/>
    <w:rsid w:val="00F438B0"/>
    <w:rsid w:val="00F51A63"/>
    <w:rsid w:val="00F52A33"/>
    <w:rsid w:val="00F52B85"/>
    <w:rsid w:val="00F52E35"/>
    <w:rsid w:val="00F603CF"/>
    <w:rsid w:val="00F61245"/>
    <w:rsid w:val="00F63E41"/>
    <w:rsid w:val="00F6530A"/>
    <w:rsid w:val="00F66D34"/>
    <w:rsid w:val="00F66E04"/>
    <w:rsid w:val="00F71404"/>
    <w:rsid w:val="00F763E5"/>
    <w:rsid w:val="00F8059A"/>
    <w:rsid w:val="00F80B16"/>
    <w:rsid w:val="00F82806"/>
    <w:rsid w:val="00F863F4"/>
    <w:rsid w:val="00F93EE2"/>
    <w:rsid w:val="00F941F4"/>
    <w:rsid w:val="00F9527D"/>
    <w:rsid w:val="00F95C49"/>
    <w:rsid w:val="00FA0B7A"/>
    <w:rsid w:val="00FA131D"/>
    <w:rsid w:val="00FA1863"/>
    <w:rsid w:val="00FA1BC8"/>
    <w:rsid w:val="00FA23DC"/>
    <w:rsid w:val="00FA2521"/>
    <w:rsid w:val="00FA522F"/>
    <w:rsid w:val="00FA7C0C"/>
    <w:rsid w:val="00FB0174"/>
    <w:rsid w:val="00FB1308"/>
    <w:rsid w:val="00FB18DA"/>
    <w:rsid w:val="00FB1FAF"/>
    <w:rsid w:val="00FB329E"/>
    <w:rsid w:val="00FB3A4D"/>
    <w:rsid w:val="00FB59CA"/>
    <w:rsid w:val="00FB6118"/>
    <w:rsid w:val="00FC07F8"/>
    <w:rsid w:val="00FC0A9C"/>
    <w:rsid w:val="00FC1686"/>
    <w:rsid w:val="00FC5D1B"/>
    <w:rsid w:val="00FC5D61"/>
    <w:rsid w:val="00FC6370"/>
    <w:rsid w:val="00FD1B66"/>
    <w:rsid w:val="00FD42CA"/>
    <w:rsid w:val="00FD4741"/>
    <w:rsid w:val="00FD6838"/>
    <w:rsid w:val="00FD73A9"/>
    <w:rsid w:val="00FD74D0"/>
    <w:rsid w:val="00FE11FD"/>
    <w:rsid w:val="00FE239D"/>
    <w:rsid w:val="00FE5A45"/>
    <w:rsid w:val="00FE6ACD"/>
    <w:rsid w:val="00FE6BB0"/>
    <w:rsid w:val="00FE76C2"/>
    <w:rsid w:val="00FF06F7"/>
    <w:rsid w:val="00FF18DC"/>
    <w:rsid w:val="00FF207F"/>
    <w:rsid w:val="00FF3035"/>
    <w:rsid w:val="00FF4F7C"/>
    <w:rsid w:val="00FF63DD"/>
    <w:rsid w:val="00FF6F55"/>
    <w:rsid w:val="010C2273"/>
    <w:rsid w:val="0137117E"/>
    <w:rsid w:val="0156EEF8"/>
    <w:rsid w:val="0178D44D"/>
    <w:rsid w:val="01831987"/>
    <w:rsid w:val="0187962F"/>
    <w:rsid w:val="01A584D8"/>
    <w:rsid w:val="01B2B491"/>
    <w:rsid w:val="01D502A0"/>
    <w:rsid w:val="01E8DF29"/>
    <w:rsid w:val="022EE5D3"/>
    <w:rsid w:val="0266F60C"/>
    <w:rsid w:val="02A02BF2"/>
    <w:rsid w:val="02B3C800"/>
    <w:rsid w:val="02C08C6B"/>
    <w:rsid w:val="02C96DEE"/>
    <w:rsid w:val="02CD60C8"/>
    <w:rsid w:val="032D88AE"/>
    <w:rsid w:val="03C037F8"/>
    <w:rsid w:val="03C127B9"/>
    <w:rsid w:val="0428A1AF"/>
    <w:rsid w:val="04876210"/>
    <w:rsid w:val="04885D29"/>
    <w:rsid w:val="04BC3A39"/>
    <w:rsid w:val="04C33041"/>
    <w:rsid w:val="04C793A2"/>
    <w:rsid w:val="04E406F5"/>
    <w:rsid w:val="04EAD399"/>
    <w:rsid w:val="050326EB"/>
    <w:rsid w:val="0529168A"/>
    <w:rsid w:val="05473D27"/>
    <w:rsid w:val="0566D78B"/>
    <w:rsid w:val="05880973"/>
    <w:rsid w:val="058ACC43"/>
    <w:rsid w:val="059DCD82"/>
    <w:rsid w:val="05B4B4B6"/>
    <w:rsid w:val="05E789CE"/>
    <w:rsid w:val="060B5FA0"/>
    <w:rsid w:val="064709E0"/>
    <w:rsid w:val="0671CA5C"/>
    <w:rsid w:val="06EC5626"/>
    <w:rsid w:val="06F473A9"/>
    <w:rsid w:val="07157005"/>
    <w:rsid w:val="072D2869"/>
    <w:rsid w:val="0764A327"/>
    <w:rsid w:val="0797EF05"/>
    <w:rsid w:val="080AEA2D"/>
    <w:rsid w:val="087255AC"/>
    <w:rsid w:val="08786E2E"/>
    <w:rsid w:val="0888634B"/>
    <w:rsid w:val="08C12984"/>
    <w:rsid w:val="08DC5AB1"/>
    <w:rsid w:val="090CC0C9"/>
    <w:rsid w:val="091DBCF8"/>
    <w:rsid w:val="094B909A"/>
    <w:rsid w:val="095DEDA9"/>
    <w:rsid w:val="0975A1E8"/>
    <w:rsid w:val="098C10BB"/>
    <w:rsid w:val="09CE4CAC"/>
    <w:rsid w:val="09DF9612"/>
    <w:rsid w:val="0A183FC0"/>
    <w:rsid w:val="0A1EC066"/>
    <w:rsid w:val="0A4420A0"/>
    <w:rsid w:val="0A6CD098"/>
    <w:rsid w:val="0AADF8DA"/>
    <w:rsid w:val="0ADEC982"/>
    <w:rsid w:val="0AE50498"/>
    <w:rsid w:val="0B0CD0CF"/>
    <w:rsid w:val="0B0FFDC7"/>
    <w:rsid w:val="0B4CD19A"/>
    <w:rsid w:val="0B4CD4FF"/>
    <w:rsid w:val="0B5F629F"/>
    <w:rsid w:val="0B974B84"/>
    <w:rsid w:val="0B990285"/>
    <w:rsid w:val="0BB1E512"/>
    <w:rsid w:val="0BB89BA4"/>
    <w:rsid w:val="0C0FE7F2"/>
    <w:rsid w:val="0C13CD9C"/>
    <w:rsid w:val="0C1BBF1B"/>
    <w:rsid w:val="0C585EE9"/>
    <w:rsid w:val="0CBCD729"/>
    <w:rsid w:val="0CDBEB79"/>
    <w:rsid w:val="0D019B47"/>
    <w:rsid w:val="0D4D5172"/>
    <w:rsid w:val="0D67A8B6"/>
    <w:rsid w:val="0DD54571"/>
    <w:rsid w:val="0DD62295"/>
    <w:rsid w:val="0DD6AD23"/>
    <w:rsid w:val="0E061D8F"/>
    <w:rsid w:val="0E35597E"/>
    <w:rsid w:val="0E4324CD"/>
    <w:rsid w:val="0E4EAADA"/>
    <w:rsid w:val="0E76C71A"/>
    <w:rsid w:val="0E96D57F"/>
    <w:rsid w:val="0ECE35B8"/>
    <w:rsid w:val="0EEA494C"/>
    <w:rsid w:val="0F0F0A53"/>
    <w:rsid w:val="0F28BB89"/>
    <w:rsid w:val="0F356D2F"/>
    <w:rsid w:val="0FBF8C4C"/>
    <w:rsid w:val="1030EB74"/>
    <w:rsid w:val="1033D1C2"/>
    <w:rsid w:val="103F663A"/>
    <w:rsid w:val="10439EE6"/>
    <w:rsid w:val="10694722"/>
    <w:rsid w:val="10B8C60D"/>
    <w:rsid w:val="11414498"/>
    <w:rsid w:val="11540831"/>
    <w:rsid w:val="1154E7D8"/>
    <w:rsid w:val="11608B21"/>
    <w:rsid w:val="11620783"/>
    <w:rsid w:val="11EE34C7"/>
    <w:rsid w:val="127463FF"/>
    <w:rsid w:val="128C2A9B"/>
    <w:rsid w:val="12C6CB6B"/>
    <w:rsid w:val="1307A0C6"/>
    <w:rsid w:val="133A3871"/>
    <w:rsid w:val="1365FFB7"/>
    <w:rsid w:val="13A46612"/>
    <w:rsid w:val="13BECF6A"/>
    <w:rsid w:val="13E1B8A6"/>
    <w:rsid w:val="14461A8C"/>
    <w:rsid w:val="1446C8FF"/>
    <w:rsid w:val="14A7D045"/>
    <w:rsid w:val="14B9B47F"/>
    <w:rsid w:val="14FC3711"/>
    <w:rsid w:val="1501676E"/>
    <w:rsid w:val="15BAAA7C"/>
    <w:rsid w:val="15C536BB"/>
    <w:rsid w:val="165D2DAA"/>
    <w:rsid w:val="16884326"/>
    <w:rsid w:val="16DE64B4"/>
    <w:rsid w:val="173D2515"/>
    <w:rsid w:val="179E4010"/>
    <w:rsid w:val="17C745C4"/>
    <w:rsid w:val="17E9904F"/>
    <w:rsid w:val="17EF03D0"/>
    <w:rsid w:val="18110210"/>
    <w:rsid w:val="18126AC5"/>
    <w:rsid w:val="1833190C"/>
    <w:rsid w:val="185B97E0"/>
    <w:rsid w:val="18708586"/>
    <w:rsid w:val="18C0BDF6"/>
    <w:rsid w:val="19649F40"/>
    <w:rsid w:val="197DC757"/>
    <w:rsid w:val="1984943A"/>
    <w:rsid w:val="19ADF863"/>
    <w:rsid w:val="19DE6BBC"/>
    <w:rsid w:val="1A2F5714"/>
    <w:rsid w:val="1A33E414"/>
    <w:rsid w:val="1A8C5A9D"/>
    <w:rsid w:val="1A9CF1F6"/>
    <w:rsid w:val="1AE1572D"/>
    <w:rsid w:val="1AE3BF70"/>
    <w:rsid w:val="1AED4D83"/>
    <w:rsid w:val="1B03146B"/>
    <w:rsid w:val="1B09E98C"/>
    <w:rsid w:val="1B4C4F5F"/>
    <w:rsid w:val="1B6582BF"/>
    <w:rsid w:val="1B921348"/>
    <w:rsid w:val="1BEC24FD"/>
    <w:rsid w:val="1BF43D10"/>
    <w:rsid w:val="1C1E453A"/>
    <w:rsid w:val="1CC41837"/>
    <w:rsid w:val="1CC5038C"/>
    <w:rsid w:val="1CEE83D2"/>
    <w:rsid w:val="1D0F45DC"/>
    <w:rsid w:val="1D3E1D79"/>
    <w:rsid w:val="1DA86C22"/>
    <w:rsid w:val="1DB777F7"/>
    <w:rsid w:val="1DD2D951"/>
    <w:rsid w:val="1DEBE213"/>
    <w:rsid w:val="1E8D284D"/>
    <w:rsid w:val="1E96B2A7"/>
    <w:rsid w:val="1EA93366"/>
    <w:rsid w:val="1EB15DDA"/>
    <w:rsid w:val="1EBA8176"/>
    <w:rsid w:val="1EC3FA40"/>
    <w:rsid w:val="1F26AA78"/>
    <w:rsid w:val="1F4E139E"/>
    <w:rsid w:val="1F59C0C4"/>
    <w:rsid w:val="1F61A9F9"/>
    <w:rsid w:val="1FD18D60"/>
    <w:rsid w:val="1FD4DFF0"/>
    <w:rsid w:val="1FFEBDB3"/>
    <w:rsid w:val="2045E149"/>
    <w:rsid w:val="204EC85B"/>
    <w:rsid w:val="210FE40D"/>
    <w:rsid w:val="211A93CD"/>
    <w:rsid w:val="2190BBB7"/>
    <w:rsid w:val="219B366F"/>
    <w:rsid w:val="21D861C6"/>
    <w:rsid w:val="2230FC04"/>
    <w:rsid w:val="230B5931"/>
    <w:rsid w:val="233DEE3A"/>
    <w:rsid w:val="23853B28"/>
    <w:rsid w:val="2396BEFC"/>
    <w:rsid w:val="239A720E"/>
    <w:rsid w:val="23C01A21"/>
    <w:rsid w:val="23C8FE21"/>
    <w:rsid w:val="23F93204"/>
    <w:rsid w:val="23FC1A79"/>
    <w:rsid w:val="2433A63B"/>
    <w:rsid w:val="24660553"/>
    <w:rsid w:val="247D6443"/>
    <w:rsid w:val="24E53015"/>
    <w:rsid w:val="24F2DF17"/>
    <w:rsid w:val="252B9850"/>
    <w:rsid w:val="25708C6D"/>
    <w:rsid w:val="25B91FF7"/>
    <w:rsid w:val="25CDD73E"/>
    <w:rsid w:val="25D2CD18"/>
    <w:rsid w:val="26232A80"/>
    <w:rsid w:val="26965EE9"/>
    <w:rsid w:val="26C498C3"/>
    <w:rsid w:val="26C7A960"/>
    <w:rsid w:val="26D14887"/>
    <w:rsid w:val="26EF2D6B"/>
    <w:rsid w:val="2732F45B"/>
    <w:rsid w:val="27480255"/>
    <w:rsid w:val="275A7E23"/>
    <w:rsid w:val="2784A586"/>
    <w:rsid w:val="2786AF03"/>
    <w:rsid w:val="27D74270"/>
    <w:rsid w:val="287B2C91"/>
    <w:rsid w:val="287D0465"/>
    <w:rsid w:val="28C3410C"/>
    <w:rsid w:val="28F61222"/>
    <w:rsid w:val="28FD54F5"/>
    <w:rsid w:val="291BD384"/>
    <w:rsid w:val="2921D939"/>
    <w:rsid w:val="293F26EB"/>
    <w:rsid w:val="29415A8A"/>
    <w:rsid w:val="2961B1A9"/>
    <w:rsid w:val="29745FB4"/>
    <w:rsid w:val="29AC4565"/>
    <w:rsid w:val="29DB8720"/>
    <w:rsid w:val="2A0A4097"/>
    <w:rsid w:val="2A364338"/>
    <w:rsid w:val="2A54D0A4"/>
    <w:rsid w:val="2A8E0C1A"/>
    <w:rsid w:val="2A8FCD58"/>
    <w:rsid w:val="2AF57F87"/>
    <w:rsid w:val="2B1CF05C"/>
    <w:rsid w:val="2B5AFD5E"/>
    <w:rsid w:val="2BA1F723"/>
    <w:rsid w:val="2BAA7BDF"/>
    <w:rsid w:val="2BD08C5A"/>
    <w:rsid w:val="2BFF1A50"/>
    <w:rsid w:val="2C173870"/>
    <w:rsid w:val="2C1FFDAE"/>
    <w:rsid w:val="2C29AF5A"/>
    <w:rsid w:val="2C3A8379"/>
    <w:rsid w:val="2C73DF54"/>
    <w:rsid w:val="2C785C4C"/>
    <w:rsid w:val="2C8CA340"/>
    <w:rsid w:val="2CD3EEFA"/>
    <w:rsid w:val="2CDF3BD5"/>
    <w:rsid w:val="2D6A55C7"/>
    <w:rsid w:val="2D824F34"/>
    <w:rsid w:val="2DA8CB89"/>
    <w:rsid w:val="2DB8A299"/>
    <w:rsid w:val="2E38F944"/>
    <w:rsid w:val="2EAA0859"/>
    <w:rsid w:val="2ED09644"/>
    <w:rsid w:val="2ED892C6"/>
    <w:rsid w:val="2EF656AF"/>
    <w:rsid w:val="2F0B82FD"/>
    <w:rsid w:val="2F32CF88"/>
    <w:rsid w:val="2F33BE32"/>
    <w:rsid w:val="2F4DB765"/>
    <w:rsid w:val="2F51230D"/>
    <w:rsid w:val="2F5A15ED"/>
    <w:rsid w:val="2FAA74F0"/>
    <w:rsid w:val="2FB81036"/>
    <w:rsid w:val="2FC20DBA"/>
    <w:rsid w:val="30364879"/>
    <w:rsid w:val="303C41BE"/>
    <w:rsid w:val="3044EC82"/>
    <w:rsid w:val="3053B14E"/>
    <w:rsid w:val="30989B8B"/>
    <w:rsid w:val="309D9DB6"/>
    <w:rsid w:val="30B50DFA"/>
    <w:rsid w:val="30CDAD35"/>
    <w:rsid w:val="30E9A0D5"/>
    <w:rsid w:val="30F3631D"/>
    <w:rsid w:val="30FDB9A5"/>
    <w:rsid w:val="310AD83E"/>
    <w:rsid w:val="312AB241"/>
    <w:rsid w:val="314C486C"/>
    <w:rsid w:val="316FAAA1"/>
    <w:rsid w:val="318C4B88"/>
    <w:rsid w:val="31D3EA24"/>
    <w:rsid w:val="325558DE"/>
    <w:rsid w:val="326D65BC"/>
    <w:rsid w:val="329B8149"/>
    <w:rsid w:val="32C50003"/>
    <w:rsid w:val="32C51152"/>
    <w:rsid w:val="32E06B3D"/>
    <w:rsid w:val="33025310"/>
    <w:rsid w:val="3305AFAC"/>
    <w:rsid w:val="3314E1A9"/>
    <w:rsid w:val="33179B66"/>
    <w:rsid w:val="3321DC8A"/>
    <w:rsid w:val="3350BE94"/>
    <w:rsid w:val="335AFA8F"/>
    <w:rsid w:val="338BE35B"/>
    <w:rsid w:val="338DEA85"/>
    <w:rsid w:val="3392DB8C"/>
    <w:rsid w:val="33A13523"/>
    <w:rsid w:val="33DC973B"/>
    <w:rsid w:val="33EB58F6"/>
    <w:rsid w:val="3446DDD5"/>
    <w:rsid w:val="3487B224"/>
    <w:rsid w:val="34C58381"/>
    <w:rsid w:val="34DD3BCA"/>
    <w:rsid w:val="34FD02DE"/>
    <w:rsid w:val="352F90A9"/>
    <w:rsid w:val="354D7341"/>
    <w:rsid w:val="3558EFDE"/>
    <w:rsid w:val="35DB4B4A"/>
    <w:rsid w:val="3659F6AB"/>
    <w:rsid w:val="36E17804"/>
    <w:rsid w:val="374431D2"/>
    <w:rsid w:val="374718A5"/>
    <w:rsid w:val="37860101"/>
    <w:rsid w:val="37C38BFD"/>
    <w:rsid w:val="37D632C3"/>
    <w:rsid w:val="37E4B638"/>
    <w:rsid w:val="38170AB8"/>
    <w:rsid w:val="38175695"/>
    <w:rsid w:val="38451B47"/>
    <w:rsid w:val="388A47F7"/>
    <w:rsid w:val="38A620FC"/>
    <w:rsid w:val="38DB5FD0"/>
    <w:rsid w:val="39088ED9"/>
    <w:rsid w:val="393CBB2F"/>
    <w:rsid w:val="3942EF0C"/>
    <w:rsid w:val="39856007"/>
    <w:rsid w:val="39BB90F2"/>
    <w:rsid w:val="39D72C8D"/>
    <w:rsid w:val="3A5FADE4"/>
    <w:rsid w:val="3A777480"/>
    <w:rsid w:val="3A78831A"/>
    <w:rsid w:val="3AC1C99B"/>
    <w:rsid w:val="3AC28A2E"/>
    <w:rsid w:val="3AEC5E49"/>
    <w:rsid w:val="3AEE631D"/>
    <w:rsid w:val="3B0F31CB"/>
    <w:rsid w:val="3B195BCB"/>
    <w:rsid w:val="3B4E547E"/>
    <w:rsid w:val="3BF4BCB3"/>
    <w:rsid w:val="3C006C0B"/>
    <w:rsid w:val="3C04053A"/>
    <w:rsid w:val="3C2D6768"/>
    <w:rsid w:val="3C36F144"/>
    <w:rsid w:val="3C880618"/>
    <w:rsid w:val="3C8E3D48"/>
    <w:rsid w:val="3CB16737"/>
    <w:rsid w:val="3CCCCC97"/>
    <w:rsid w:val="3CF4D727"/>
    <w:rsid w:val="3D7D85D1"/>
    <w:rsid w:val="3D9C3C3C"/>
    <w:rsid w:val="3DA3A579"/>
    <w:rsid w:val="3DF071DA"/>
    <w:rsid w:val="3DF9F973"/>
    <w:rsid w:val="3E1B6628"/>
    <w:rsid w:val="3E1E2756"/>
    <w:rsid w:val="3F2C4C13"/>
    <w:rsid w:val="3F43B857"/>
    <w:rsid w:val="3F440E72"/>
    <w:rsid w:val="3FA73E63"/>
    <w:rsid w:val="3FC5224A"/>
    <w:rsid w:val="3FFA0A7B"/>
    <w:rsid w:val="402EBA78"/>
    <w:rsid w:val="403762B5"/>
    <w:rsid w:val="40797805"/>
    <w:rsid w:val="40AC749B"/>
    <w:rsid w:val="40E4D416"/>
    <w:rsid w:val="4121E2E5"/>
    <w:rsid w:val="417A0EF0"/>
    <w:rsid w:val="41ABB728"/>
    <w:rsid w:val="41D40F1F"/>
    <w:rsid w:val="41E68631"/>
    <w:rsid w:val="41F21E06"/>
    <w:rsid w:val="4217157D"/>
    <w:rsid w:val="421CFDDC"/>
    <w:rsid w:val="42203934"/>
    <w:rsid w:val="42926076"/>
    <w:rsid w:val="42D233EA"/>
    <w:rsid w:val="42E82E0C"/>
    <w:rsid w:val="42EC6213"/>
    <w:rsid w:val="4310E4A5"/>
    <w:rsid w:val="434B2A98"/>
    <w:rsid w:val="43899C4F"/>
    <w:rsid w:val="43A2426E"/>
    <w:rsid w:val="43DD841F"/>
    <w:rsid w:val="43FE7347"/>
    <w:rsid w:val="440984A1"/>
    <w:rsid w:val="44231AE0"/>
    <w:rsid w:val="44283337"/>
    <w:rsid w:val="4428C3CB"/>
    <w:rsid w:val="4435B7FB"/>
    <w:rsid w:val="443E24AB"/>
    <w:rsid w:val="44416C51"/>
    <w:rsid w:val="44581563"/>
    <w:rsid w:val="445A9784"/>
    <w:rsid w:val="446BD1B8"/>
    <w:rsid w:val="447AC283"/>
    <w:rsid w:val="44CF5849"/>
    <w:rsid w:val="45630487"/>
    <w:rsid w:val="456FA18D"/>
    <w:rsid w:val="45A78EC6"/>
    <w:rsid w:val="45E99898"/>
    <w:rsid w:val="4600E47E"/>
    <w:rsid w:val="460B1F85"/>
    <w:rsid w:val="461BF990"/>
    <w:rsid w:val="4645A89C"/>
    <w:rsid w:val="46BC626A"/>
    <w:rsid w:val="471F8AC7"/>
    <w:rsid w:val="477CF4E2"/>
    <w:rsid w:val="47C492BD"/>
    <w:rsid w:val="47E47FC9"/>
    <w:rsid w:val="48878E17"/>
    <w:rsid w:val="48C1886D"/>
    <w:rsid w:val="48F39943"/>
    <w:rsid w:val="49055FBF"/>
    <w:rsid w:val="49134178"/>
    <w:rsid w:val="4939A90A"/>
    <w:rsid w:val="494CF1DD"/>
    <w:rsid w:val="497DC371"/>
    <w:rsid w:val="49C9638A"/>
    <w:rsid w:val="4A1A45D0"/>
    <w:rsid w:val="4A235E8E"/>
    <w:rsid w:val="4A6C6D90"/>
    <w:rsid w:val="4A8C42FB"/>
    <w:rsid w:val="4AB0CA60"/>
    <w:rsid w:val="4B0C03CD"/>
    <w:rsid w:val="4B562DBC"/>
    <w:rsid w:val="4B64B43D"/>
    <w:rsid w:val="4BAC705A"/>
    <w:rsid w:val="4BCD4298"/>
    <w:rsid w:val="4BE56ED6"/>
    <w:rsid w:val="4C4436B5"/>
    <w:rsid w:val="4CA277A5"/>
    <w:rsid w:val="4CD5F5F4"/>
    <w:rsid w:val="4D43FC76"/>
    <w:rsid w:val="4D73F610"/>
    <w:rsid w:val="4DCA5973"/>
    <w:rsid w:val="4E3F692F"/>
    <w:rsid w:val="4E52585A"/>
    <w:rsid w:val="4E5F0CF9"/>
    <w:rsid w:val="4E86C775"/>
    <w:rsid w:val="4F91D709"/>
    <w:rsid w:val="4FC9B4FB"/>
    <w:rsid w:val="4FF1CD63"/>
    <w:rsid w:val="502C14BB"/>
    <w:rsid w:val="503D47BF"/>
    <w:rsid w:val="5051BF46"/>
    <w:rsid w:val="5081FB05"/>
    <w:rsid w:val="50B3B4FA"/>
    <w:rsid w:val="50BC6BCE"/>
    <w:rsid w:val="50D4653B"/>
    <w:rsid w:val="50D8148B"/>
    <w:rsid w:val="50ED9458"/>
    <w:rsid w:val="50FAE190"/>
    <w:rsid w:val="510AED77"/>
    <w:rsid w:val="510DE2CF"/>
    <w:rsid w:val="515BB2AA"/>
    <w:rsid w:val="5176153D"/>
    <w:rsid w:val="521A57F6"/>
    <w:rsid w:val="52779547"/>
    <w:rsid w:val="52B7F9AA"/>
    <w:rsid w:val="5309F441"/>
    <w:rsid w:val="535E7381"/>
    <w:rsid w:val="5366E034"/>
    <w:rsid w:val="538009CD"/>
    <w:rsid w:val="53AE0EA7"/>
    <w:rsid w:val="53D69756"/>
    <w:rsid w:val="53FFF52A"/>
    <w:rsid w:val="54325950"/>
    <w:rsid w:val="5449B176"/>
    <w:rsid w:val="54617812"/>
    <w:rsid w:val="54741DB9"/>
    <w:rsid w:val="54771361"/>
    <w:rsid w:val="54B73954"/>
    <w:rsid w:val="54BC2C83"/>
    <w:rsid w:val="54EE2EEF"/>
    <w:rsid w:val="55007800"/>
    <w:rsid w:val="554B18D3"/>
    <w:rsid w:val="5591DFC7"/>
    <w:rsid w:val="5604AFAD"/>
    <w:rsid w:val="56564A91"/>
    <w:rsid w:val="565B9995"/>
    <w:rsid w:val="56CA3502"/>
    <w:rsid w:val="56CA4805"/>
    <w:rsid w:val="56D48579"/>
    <w:rsid w:val="574BA135"/>
    <w:rsid w:val="580756C8"/>
    <w:rsid w:val="581A26A8"/>
    <w:rsid w:val="583F2E04"/>
    <w:rsid w:val="5855A25B"/>
    <w:rsid w:val="586CDC8E"/>
    <w:rsid w:val="589EE0E7"/>
    <w:rsid w:val="58C8206E"/>
    <w:rsid w:val="58D50FE5"/>
    <w:rsid w:val="58F3EF2D"/>
    <w:rsid w:val="58FC0DB1"/>
    <w:rsid w:val="592B007F"/>
    <w:rsid w:val="5967BC44"/>
    <w:rsid w:val="5969E67E"/>
    <w:rsid w:val="596B6000"/>
    <w:rsid w:val="597571EF"/>
    <w:rsid w:val="59BA6C0E"/>
    <w:rsid w:val="5A128E5D"/>
    <w:rsid w:val="5A20BF9D"/>
    <w:rsid w:val="5AA6E4DA"/>
    <w:rsid w:val="5AA74427"/>
    <w:rsid w:val="5AD924B9"/>
    <w:rsid w:val="5AEBB725"/>
    <w:rsid w:val="5B1956D7"/>
    <w:rsid w:val="5B1C6F1B"/>
    <w:rsid w:val="5B1EFED1"/>
    <w:rsid w:val="5B4D967C"/>
    <w:rsid w:val="5B613339"/>
    <w:rsid w:val="5B7ABEE0"/>
    <w:rsid w:val="5C3B148C"/>
    <w:rsid w:val="5CC1A92D"/>
    <w:rsid w:val="5CC52240"/>
    <w:rsid w:val="5CFBA682"/>
    <w:rsid w:val="5D3794B2"/>
    <w:rsid w:val="5E007868"/>
    <w:rsid w:val="5E258B2A"/>
    <w:rsid w:val="5E5F2050"/>
    <w:rsid w:val="5EA81B94"/>
    <w:rsid w:val="5EDF4004"/>
    <w:rsid w:val="5F19A65E"/>
    <w:rsid w:val="5F1EE7F6"/>
    <w:rsid w:val="5F2CA79D"/>
    <w:rsid w:val="5F868CF6"/>
    <w:rsid w:val="5F86E97A"/>
    <w:rsid w:val="5F99004C"/>
    <w:rsid w:val="5FADC938"/>
    <w:rsid w:val="5FB231CE"/>
    <w:rsid w:val="6004648F"/>
    <w:rsid w:val="6017E592"/>
    <w:rsid w:val="60195CBB"/>
    <w:rsid w:val="602D1C78"/>
    <w:rsid w:val="6061BA9D"/>
    <w:rsid w:val="60752FC4"/>
    <w:rsid w:val="60CDC89B"/>
    <w:rsid w:val="60EE5243"/>
    <w:rsid w:val="6118A619"/>
    <w:rsid w:val="6151AAA0"/>
    <w:rsid w:val="61641EC9"/>
    <w:rsid w:val="61A74079"/>
    <w:rsid w:val="61C86257"/>
    <w:rsid w:val="6229251B"/>
    <w:rsid w:val="622FB6AE"/>
    <w:rsid w:val="62444E5A"/>
    <w:rsid w:val="62A6332D"/>
    <w:rsid w:val="62F4F3D8"/>
    <w:rsid w:val="62F526A9"/>
    <w:rsid w:val="63165378"/>
    <w:rsid w:val="63231886"/>
    <w:rsid w:val="6331BA7D"/>
    <w:rsid w:val="63410B72"/>
    <w:rsid w:val="634F6E43"/>
    <w:rsid w:val="63601D40"/>
    <w:rsid w:val="63A95F0E"/>
    <w:rsid w:val="63B0A495"/>
    <w:rsid w:val="63C01160"/>
    <w:rsid w:val="64206EDE"/>
    <w:rsid w:val="6452A5B2"/>
    <w:rsid w:val="646A627D"/>
    <w:rsid w:val="648A1065"/>
    <w:rsid w:val="649EA511"/>
    <w:rsid w:val="64DAC1F6"/>
    <w:rsid w:val="64DCED1B"/>
    <w:rsid w:val="65863849"/>
    <w:rsid w:val="658A542A"/>
    <w:rsid w:val="65A20F44"/>
    <w:rsid w:val="6628B7BA"/>
    <w:rsid w:val="66539F67"/>
    <w:rsid w:val="666BB241"/>
    <w:rsid w:val="66DF1A40"/>
    <w:rsid w:val="66FB91A5"/>
    <w:rsid w:val="67049F7A"/>
    <w:rsid w:val="677B6758"/>
    <w:rsid w:val="678A20CB"/>
    <w:rsid w:val="67A45EF3"/>
    <w:rsid w:val="67BDE7BF"/>
    <w:rsid w:val="67D7E0A3"/>
    <w:rsid w:val="67D82B4D"/>
    <w:rsid w:val="680339FB"/>
    <w:rsid w:val="68072901"/>
    <w:rsid w:val="68659947"/>
    <w:rsid w:val="6876549B"/>
    <w:rsid w:val="68AC2C56"/>
    <w:rsid w:val="68C1B794"/>
    <w:rsid w:val="68FD7FF1"/>
    <w:rsid w:val="692E6747"/>
    <w:rsid w:val="69A90750"/>
    <w:rsid w:val="69B4BEAE"/>
    <w:rsid w:val="6A1BB25A"/>
    <w:rsid w:val="6A4799C8"/>
    <w:rsid w:val="6A6DF883"/>
    <w:rsid w:val="6A832F69"/>
    <w:rsid w:val="6AAC65D0"/>
    <w:rsid w:val="6AC2BFC7"/>
    <w:rsid w:val="6AF9B761"/>
    <w:rsid w:val="6AFA1C08"/>
    <w:rsid w:val="6B3FC18B"/>
    <w:rsid w:val="6B47DBD1"/>
    <w:rsid w:val="6B545F19"/>
    <w:rsid w:val="6B56D993"/>
    <w:rsid w:val="6B677635"/>
    <w:rsid w:val="6B80265F"/>
    <w:rsid w:val="6B875BCD"/>
    <w:rsid w:val="6B9E845D"/>
    <w:rsid w:val="6C427D2A"/>
    <w:rsid w:val="6C76AA50"/>
    <w:rsid w:val="6C890F7E"/>
    <w:rsid w:val="6CE3AA80"/>
    <w:rsid w:val="6D34AAE9"/>
    <w:rsid w:val="6D46BC29"/>
    <w:rsid w:val="6D8D3B31"/>
    <w:rsid w:val="6DF5222D"/>
    <w:rsid w:val="6E01F229"/>
    <w:rsid w:val="6E135D2A"/>
    <w:rsid w:val="6E483761"/>
    <w:rsid w:val="6E83E9DD"/>
    <w:rsid w:val="6EA61E67"/>
    <w:rsid w:val="6EB5C7A3"/>
    <w:rsid w:val="6ECC86FF"/>
    <w:rsid w:val="6F2FF101"/>
    <w:rsid w:val="6F52027C"/>
    <w:rsid w:val="6F6B0613"/>
    <w:rsid w:val="6F6F6347"/>
    <w:rsid w:val="6F940F97"/>
    <w:rsid w:val="6F9BFEF7"/>
    <w:rsid w:val="701F91A2"/>
    <w:rsid w:val="705C4A47"/>
    <w:rsid w:val="708F18F8"/>
    <w:rsid w:val="70C804B9"/>
    <w:rsid w:val="7129562B"/>
    <w:rsid w:val="718E311A"/>
    <w:rsid w:val="7227145A"/>
    <w:rsid w:val="72276129"/>
    <w:rsid w:val="722CF862"/>
    <w:rsid w:val="72C6264C"/>
    <w:rsid w:val="72DB24C8"/>
    <w:rsid w:val="72E95F9F"/>
    <w:rsid w:val="72FC62B8"/>
    <w:rsid w:val="7308F3F9"/>
    <w:rsid w:val="7386A85A"/>
    <w:rsid w:val="738C4EAC"/>
    <w:rsid w:val="73A98030"/>
    <w:rsid w:val="73EA83C2"/>
    <w:rsid w:val="73F32142"/>
    <w:rsid w:val="745FF8D6"/>
    <w:rsid w:val="75063FDC"/>
    <w:rsid w:val="75731FED"/>
    <w:rsid w:val="75BAA0DD"/>
    <w:rsid w:val="75C9AB4E"/>
    <w:rsid w:val="75F05A2A"/>
    <w:rsid w:val="761B501A"/>
    <w:rsid w:val="765303AA"/>
    <w:rsid w:val="7674F500"/>
    <w:rsid w:val="76805D49"/>
    <w:rsid w:val="76C06170"/>
    <w:rsid w:val="76C882F5"/>
    <w:rsid w:val="76CA0EE5"/>
    <w:rsid w:val="770F8042"/>
    <w:rsid w:val="776C58DC"/>
    <w:rsid w:val="777B4A0D"/>
    <w:rsid w:val="779BC77D"/>
    <w:rsid w:val="77A5689D"/>
    <w:rsid w:val="77AD1657"/>
    <w:rsid w:val="783AB981"/>
    <w:rsid w:val="784C14B1"/>
    <w:rsid w:val="78727C8D"/>
    <w:rsid w:val="78D2E2B5"/>
    <w:rsid w:val="78F181FC"/>
    <w:rsid w:val="78F6303B"/>
    <w:rsid w:val="78F9E843"/>
    <w:rsid w:val="7916AB2F"/>
    <w:rsid w:val="79473A9C"/>
    <w:rsid w:val="79821352"/>
    <w:rsid w:val="7A22F5DB"/>
    <w:rsid w:val="7A329F2C"/>
    <w:rsid w:val="7A35F242"/>
    <w:rsid w:val="7A6053BE"/>
    <w:rsid w:val="7A80C349"/>
    <w:rsid w:val="7A89F0CC"/>
    <w:rsid w:val="7AD888A6"/>
    <w:rsid w:val="7B215864"/>
    <w:rsid w:val="7B7F027D"/>
    <w:rsid w:val="7BA453A5"/>
    <w:rsid w:val="7BABCD2E"/>
    <w:rsid w:val="7BB51F7E"/>
    <w:rsid w:val="7C04B492"/>
    <w:rsid w:val="7C268A68"/>
    <w:rsid w:val="7C26CC39"/>
    <w:rsid w:val="7C285075"/>
    <w:rsid w:val="7C72E802"/>
    <w:rsid w:val="7C9659BD"/>
    <w:rsid w:val="7CBAE8F3"/>
    <w:rsid w:val="7CD61E34"/>
    <w:rsid w:val="7D0DC504"/>
    <w:rsid w:val="7D4D50CD"/>
    <w:rsid w:val="7DB0C8B4"/>
    <w:rsid w:val="7DDD018F"/>
    <w:rsid w:val="7E108FA7"/>
    <w:rsid w:val="7E6E8522"/>
    <w:rsid w:val="7EA5ED52"/>
    <w:rsid w:val="7EC6ECDE"/>
    <w:rsid w:val="7EE40700"/>
    <w:rsid w:val="7EF54E95"/>
    <w:rsid w:val="7F744C3A"/>
    <w:rsid w:val="7F8E7B4E"/>
    <w:rsid w:val="7F999543"/>
    <w:rsid w:val="7F9CC9CD"/>
    <w:rsid w:val="7FE065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C5E"/>
  <w15:chartTrackingRefBased/>
  <w15:docId w15:val="{A43501CD-5D84-47B1-A4A5-B8D67A7B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50964"/>
    <w:rPr>
      <w:rFonts w:ascii="Arial" w:eastAsiaTheme="minorEastAsia" w:hAnsi="Arial"/>
      <w:sz w:val="24"/>
      <w:lang w:eastAsia="ja-JP"/>
    </w:rPr>
  </w:style>
  <w:style w:type="paragraph" w:styleId="Heading1">
    <w:name w:val="heading 1"/>
    <w:basedOn w:val="Normal"/>
    <w:next w:val="Normal"/>
    <w:link w:val="Heading1Char"/>
    <w:uiPriority w:val="9"/>
    <w:qFormat/>
    <w:rsid w:val="00250964"/>
    <w:pPr>
      <w:spacing w:before="480" w:after="120" w:line="276" w:lineRule="auto"/>
      <w:outlineLvl w:val="0"/>
    </w:pPr>
    <w:rPr>
      <w:rFonts w:cs="Arial"/>
      <w:b/>
      <w:color w:val="E61E32"/>
      <w:sz w:val="28"/>
      <w:szCs w:val="28"/>
    </w:rPr>
  </w:style>
  <w:style w:type="paragraph" w:styleId="Heading3">
    <w:name w:val="heading 3"/>
    <w:basedOn w:val="Normal"/>
    <w:next w:val="Normal"/>
    <w:link w:val="Heading3Char"/>
    <w:uiPriority w:val="9"/>
    <w:semiHidden/>
    <w:unhideWhenUsed/>
    <w:qFormat/>
    <w:rsid w:val="005E264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964"/>
    <w:rPr>
      <w:rFonts w:ascii="Arial" w:eastAsiaTheme="minorEastAsia" w:hAnsi="Arial" w:cs="Arial"/>
      <w:b/>
      <w:color w:val="E61E32"/>
      <w:sz w:val="28"/>
      <w:szCs w:val="28"/>
      <w:lang w:eastAsia="ja-JP"/>
    </w:rPr>
  </w:style>
  <w:style w:type="paragraph" w:styleId="Title">
    <w:name w:val="Title"/>
    <w:basedOn w:val="Normal"/>
    <w:link w:val="TitleChar"/>
    <w:uiPriority w:val="1"/>
    <w:qFormat/>
    <w:rsid w:val="00250964"/>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250964"/>
    <w:rPr>
      <w:rFonts w:ascii="Arial" w:eastAsiaTheme="majorEastAsia" w:hAnsi="Arial" w:cs="Arial"/>
      <w:b/>
      <w:noProof/>
      <w:color w:val="000000" w:themeColor="text1"/>
      <w:sz w:val="48"/>
      <w:szCs w:val="48"/>
      <w:lang w:eastAsia="ja-JP"/>
    </w:rPr>
  </w:style>
  <w:style w:type="paragraph" w:styleId="EndnoteText">
    <w:name w:val="endnote text"/>
    <w:basedOn w:val="Normal"/>
    <w:link w:val="EndnoteTextChar"/>
    <w:uiPriority w:val="99"/>
    <w:unhideWhenUsed/>
    <w:rsid w:val="00250964"/>
    <w:pPr>
      <w:spacing w:after="0" w:line="240" w:lineRule="auto"/>
    </w:pPr>
    <w:rPr>
      <w:szCs w:val="20"/>
    </w:rPr>
  </w:style>
  <w:style w:type="character" w:customStyle="1" w:styleId="EndnoteTextChar">
    <w:name w:val="Endnote Text Char"/>
    <w:basedOn w:val="DefaultParagraphFont"/>
    <w:link w:val="EndnoteText"/>
    <w:uiPriority w:val="99"/>
    <w:rsid w:val="00250964"/>
    <w:rPr>
      <w:rFonts w:ascii="Arial" w:eastAsiaTheme="minorEastAsia" w:hAnsi="Arial"/>
      <w:sz w:val="24"/>
      <w:szCs w:val="20"/>
      <w:lang w:eastAsia="ja-JP"/>
    </w:rPr>
  </w:style>
  <w:style w:type="paragraph" w:styleId="FootnoteText">
    <w:name w:val="footnote text"/>
    <w:basedOn w:val="Normal"/>
    <w:link w:val="FootnoteTextChar"/>
    <w:uiPriority w:val="99"/>
    <w:semiHidden/>
    <w:unhideWhenUsed/>
    <w:rsid w:val="00250964"/>
    <w:pPr>
      <w:spacing w:after="0" w:line="240" w:lineRule="auto"/>
    </w:pPr>
    <w:rPr>
      <w:szCs w:val="20"/>
    </w:rPr>
  </w:style>
  <w:style w:type="character" w:customStyle="1" w:styleId="FootnoteTextChar">
    <w:name w:val="Footnote Text Char"/>
    <w:basedOn w:val="DefaultParagraphFont"/>
    <w:link w:val="FootnoteText"/>
    <w:uiPriority w:val="99"/>
    <w:semiHidden/>
    <w:rsid w:val="00250964"/>
    <w:rPr>
      <w:rFonts w:ascii="Arial" w:eastAsiaTheme="minorEastAsia" w:hAnsi="Arial"/>
      <w:sz w:val="24"/>
      <w:szCs w:val="20"/>
      <w:lang w:eastAsia="ja-JP"/>
    </w:rPr>
  </w:style>
  <w:style w:type="character" w:styleId="Hyperlink">
    <w:name w:val="Hyperlink"/>
    <w:basedOn w:val="DefaultParagraphFont"/>
    <w:uiPriority w:val="99"/>
    <w:unhideWhenUsed/>
    <w:rsid w:val="00250964"/>
    <w:rPr>
      <w:color w:val="0563C1"/>
      <w:u w:val="single"/>
    </w:rPr>
  </w:style>
  <w:style w:type="paragraph" w:styleId="ListParagraph">
    <w:name w:val="List Paragraph"/>
    <w:aliases w:val="Bullet Style,Bulleted list,Dot pt,No Spacing1,List Paragraph Char Char Char,Indicator Text,List Paragraph1,F5 List Paragraph,Numbered Para 1,Bullet Points,MAIN CONTENT,Bullet 1,List Paragraph12,Colorful List - Accent 11,Normal numbered,L"/>
    <w:basedOn w:val="Normal"/>
    <w:link w:val="ListParagraphChar"/>
    <w:uiPriority w:val="34"/>
    <w:unhideWhenUsed/>
    <w:qFormat/>
    <w:rsid w:val="00250964"/>
    <w:pPr>
      <w:numPr>
        <w:numId w:val="1"/>
      </w:numPr>
      <w:spacing w:line="276" w:lineRule="auto"/>
      <w:contextualSpacing/>
    </w:pPr>
    <w:rPr>
      <w:rFonts w:cs="Arial"/>
      <w:color w:val="000000" w:themeColor="text1"/>
    </w:rPr>
  </w:style>
  <w:style w:type="character" w:customStyle="1" w:styleId="ListParagraphChar">
    <w:name w:val="List Paragraph Char"/>
    <w:aliases w:val="Bullet Style Char,Bulleted list Char,Dot pt Char,No Spacing1 Char,List Paragraph Char Char Char Char,Indicator Text Char,List Paragraph1 Char,F5 List Paragraph Char,Numbered Para 1 Char,Bullet Points Char,MAIN CONTENT Char,L Char"/>
    <w:basedOn w:val="DefaultParagraphFont"/>
    <w:link w:val="ListParagraph"/>
    <w:uiPriority w:val="34"/>
    <w:qFormat/>
    <w:rsid w:val="00250964"/>
    <w:rPr>
      <w:rFonts w:ascii="Arial" w:eastAsiaTheme="minorEastAsia" w:hAnsi="Arial" w:cs="Arial"/>
      <w:color w:val="000000" w:themeColor="text1"/>
      <w:sz w:val="24"/>
      <w:lang w:eastAsia="ja-JP"/>
    </w:rPr>
  </w:style>
  <w:style w:type="character" w:styleId="FootnoteReference">
    <w:name w:val="footnote reference"/>
    <w:basedOn w:val="DefaultParagraphFont"/>
    <w:uiPriority w:val="99"/>
    <w:semiHidden/>
    <w:unhideWhenUsed/>
    <w:rsid w:val="00250964"/>
    <w:rPr>
      <w:vertAlign w:val="superscript"/>
    </w:rPr>
  </w:style>
  <w:style w:type="paragraph" w:customStyle="1" w:styleId="Default">
    <w:name w:val="Default"/>
    <w:rsid w:val="0025096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aliases w:val="Endnote text"/>
    <w:basedOn w:val="DefaultParagraphFont"/>
    <w:uiPriority w:val="99"/>
    <w:unhideWhenUsed/>
    <w:rsid w:val="00250964"/>
    <w:rPr>
      <w:vertAlign w:val="superscript"/>
    </w:rPr>
  </w:style>
  <w:style w:type="character" w:styleId="FollowedHyperlink">
    <w:name w:val="FollowedHyperlink"/>
    <w:basedOn w:val="DefaultParagraphFont"/>
    <w:uiPriority w:val="99"/>
    <w:semiHidden/>
    <w:unhideWhenUsed/>
    <w:rsid w:val="00250964"/>
    <w:rPr>
      <w:color w:val="954F72" w:themeColor="followedHyperlink"/>
      <w:u w:val="single"/>
    </w:rPr>
  </w:style>
  <w:style w:type="character" w:styleId="UnresolvedMention">
    <w:name w:val="Unresolved Mention"/>
    <w:basedOn w:val="DefaultParagraphFont"/>
    <w:uiPriority w:val="99"/>
    <w:unhideWhenUsed/>
    <w:rsid w:val="00250964"/>
    <w:rPr>
      <w:color w:val="605E5C"/>
      <w:shd w:val="clear" w:color="auto" w:fill="E1DFDD"/>
    </w:rPr>
  </w:style>
  <w:style w:type="paragraph" w:styleId="Revision">
    <w:name w:val="Revision"/>
    <w:hidden/>
    <w:uiPriority w:val="99"/>
    <w:semiHidden/>
    <w:rsid w:val="006B2A55"/>
    <w:pPr>
      <w:spacing w:after="0" w:line="240" w:lineRule="auto"/>
    </w:pPr>
    <w:rPr>
      <w:rFonts w:ascii="Arial" w:eastAsiaTheme="minorEastAsia" w:hAnsi="Arial"/>
      <w:sz w:val="24"/>
      <w:lang w:eastAsia="ja-JP"/>
    </w:rPr>
  </w:style>
  <w:style w:type="paragraph" w:styleId="BalloonText">
    <w:name w:val="Balloon Text"/>
    <w:basedOn w:val="Normal"/>
    <w:link w:val="BalloonTextChar"/>
    <w:uiPriority w:val="99"/>
    <w:semiHidden/>
    <w:unhideWhenUsed/>
    <w:rsid w:val="006B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55"/>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940338"/>
    <w:rPr>
      <w:sz w:val="16"/>
      <w:szCs w:val="16"/>
    </w:rPr>
  </w:style>
  <w:style w:type="paragraph" w:styleId="CommentText">
    <w:name w:val="annotation text"/>
    <w:basedOn w:val="Normal"/>
    <w:link w:val="CommentTextChar"/>
    <w:uiPriority w:val="99"/>
    <w:semiHidden/>
    <w:unhideWhenUsed/>
    <w:rsid w:val="00940338"/>
    <w:pPr>
      <w:spacing w:line="240" w:lineRule="auto"/>
    </w:pPr>
    <w:rPr>
      <w:sz w:val="20"/>
      <w:szCs w:val="20"/>
    </w:rPr>
  </w:style>
  <w:style w:type="character" w:customStyle="1" w:styleId="CommentTextChar">
    <w:name w:val="Comment Text Char"/>
    <w:basedOn w:val="DefaultParagraphFont"/>
    <w:link w:val="CommentText"/>
    <w:uiPriority w:val="99"/>
    <w:semiHidden/>
    <w:rsid w:val="00940338"/>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940338"/>
    <w:rPr>
      <w:b/>
      <w:bCs/>
    </w:rPr>
  </w:style>
  <w:style w:type="character" w:customStyle="1" w:styleId="CommentSubjectChar">
    <w:name w:val="Comment Subject Char"/>
    <w:basedOn w:val="CommentTextChar"/>
    <w:link w:val="CommentSubject"/>
    <w:uiPriority w:val="99"/>
    <w:semiHidden/>
    <w:rsid w:val="00940338"/>
    <w:rPr>
      <w:rFonts w:ascii="Arial" w:eastAsiaTheme="minorEastAsia" w:hAnsi="Arial"/>
      <w:b/>
      <w:bCs/>
      <w:sz w:val="20"/>
      <w:szCs w:val="20"/>
      <w:lang w:eastAsia="ja-JP"/>
    </w:rPr>
  </w:style>
  <w:style w:type="paragraph" w:styleId="Header">
    <w:name w:val="header"/>
    <w:basedOn w:val="Normal"/>
    <w:link w:val="HeaderChar"/>
    <w:uiPriority w:val="99"/>
    <w:unhideWhenUsed/>
    <w:rsid w:val="0011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21"/>
    <w:rPr>
      <w:rFonts w:ascii="Arial" w:eastAsiaTheme="minorEastAsia" w:hAnsi="Arial"/>
      <w:sz w:val="24"/>
      <w:lang w:eastAsia="ja-JP"/>
    </w:rPr>
  </w:style>
  <w:style w:type="paragraph" w:styleId="Footer">
    <w:name w:val="footer"/>
    <w:basedOn w:val="Normal"/>
    <w:link w:val="FooterChar"/>
    <w:uiPriority w:val="99"/>
    <w:unhideWhenUsed/>
    <w:rsid w:val="0011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21"/>
    <w:rPr>
      <w:rFonts w:ascii="Arial" w:eastAsiaTheme="minorEastAsia" w:hAnsi="Arial"/>
      <w:sz w:val="24"/>
      <w:lang w:eastAsia="ja-JP"/>
    </w:rPr>
  </w:style>
  <w:style w:type="character" w:customStyle="1" w:styleId="Heading3Char">
    <w:name w:val="Heading 3 Char"/>
    <w:basedOn w:val="DefaultParagraphFont"/>
    <w:link w:val="Heading3"/>
    <w:uiPriority w:val="9"/>
    <w:semiHidden/>
    <w:rsid w:val="005E2640"/>
    <w:rPr>
      <w:rFonts w:asciiTheme="majorHAnsi" w:eastAsiaTheme="majorEastAsia" w:hAnsiTheme="majorHAnsi" w:cstheme="majorBidi"/>
      <w:color w:val="1F3763" w:themeColor="accent1" w:themeShade="7F"/>
      <w:sz w:val="24"/>
      <w:szCs w:val="24"/>
      <w:lang w:eastAsia="ja-JP"/>
    </w:rPr>
  </w:style>
  <w:style w:type="character" w:styleId="Mention">
    <w:name w:val="Mention"/>
    <w:basedOn w:val="DefaultParagraphFont"/>
    <w:uiPriority w:val="99"/>
    <w:unhideWhenUsed/>
    <w:rsid w:val="00021A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3029">
      <w:bodyDiv w:val="1"/>
      <w:marLeft w:val="0"/>
      <w:marRight w:val="0"/>
      <w:marTop w:val="0"/>
      <w:marBottom w:val="0"/>
      <w:divBdr>
        <w:top w:val="none" w:sz="0" w:space="0" w:color="auto"/>
        <w:left w:val="none" w:sz="0" w:space="0" w:color="auto"/>
        <w:bottom w:val="none" w:sz="0" w:space="0" w:color="auto"/>
        <w:right w:val="none" w:sz="0" w:space="0" w:color="auto"/>
      </w:divBdr>
    </w:div>
    <w:div w:id="306204017">
      <w:bodyDiv w:val="1"/>
      <w:marLeft w:val="0"/>
      <w:marRight w:val="0"/>
      <w:marTop w:val="0"/>
      <w:marBottom w:val="0"/>
      <w:divBdr>
        <w:top w:val="none" w:sz="0" w:space="0" w:color="auto"/>
        <w:left w:val="none" w:sz="0" w:space="0" w:color="auto"/>
        <w:bottom w:val="none" w:sz="0" w:space="0" w:color="auto"/>
        <w:right w:val="none" w:sz="0" w:space="0" w:color="auto"/>
      </w:divBdr>
    </w:div>
    <w:div w:id="355274302">
      <w:bodyDiv w:val="1"/>
      <w:marLeft w:val="0"/>
      <w:marRight w:val="0"/>
      <w:marTop w:val="0"/>
      <w:marBottom w:val="0"/>
      <w:divBdr>
        <w:top w:val="none" w:sz="0" w:space="0" w:color="auto"/>
        <w:left w:val="none" w:sz="0" w:space="0" w:color="auto"/>
        <w:bottom w:val="none" w:sz="0" w:space="0" w:color="auto"/>
        <w:right w:val="none" w:sz="0" w:space="0" w:color="auto"/>
      </w:divBdr>
    </w:div>
    <w:div w:id="489292735">
      <w:bodyDiv w:val="1"/>
      <w:marLeft w:val="0"/>
      <w:marRight w:val="0"/>
      <w:marTop w:val="0"/>
      <w:marBottom w:val="0"/>
      <w:divBdr>
        <w:top w:val="none" w:sz="0" w:space="0" w:color="auto"/>
        <w:left w:val="none" w:sz="0" w:space="0" w:color="auto"/>
        <w:bottom w:val="none" w:sz="0" w:space="0" w:color="auto"/>
        <w:right w:val="none" w:sz="0" w:space="0" w:color="auto"/>
      </w:divBdr>
      <w:divsChild>
        <w:div w:id="1193569395">
          <w:marLeft w:val="0"/>
          <w:marRight w:val="0"/>
          <w:marTop w:val="0"/>
          <w:marBottom w:val="0"/>
          <w:divBdr>
            <w:top w:val="none" w:sz="0" w:space="0" w:color="auto"/>
            <w:left w:val="none" w:sz="0" w:space="0" w:color="auto"/>
            <w:bottom w:val="none" w:sz="0" w:space="0" w:color="auto"/>
            <w:right w:val="none" w:sz="0" w:space="0" w:color="auto"/>
          </w:divBdr>
        </w:div>
      </w:divsChild>
    </w:div>
    <w:div w:id="668676543">
      <w:bodyDiv w:val="1"/>
      <w:marLeft w:val="0"/>
      <w:marRight w:val="0"/>
      <w:marTop w:val="0"/>
      <w:marBottom w:val="0"/>
      <w:divBdr>
        <w:top w:val="none" w:sz="0" w:space="0" w:color="auto"/>
        <w:left w:val="none" w:sz="0" w:space="0" w:color="auto"/>
        <w:bottom w:val="none" w:sz="0" w:space="0" w:color="auto"/>
        <w:right w:val="none" w:sz="0" w:space="0" w:color="auto"/>
      </w:divBdr>
    </w:div>
    <w:div w:id="913785017">
      <w:bodyDiv w:val="1"/>
      <w:marLeft w:val="0"/>
      <w:marRight w:val="0"/>
      <w:marTop w:val="0"/>
      <w:marBottom w:val="0"/>
      <w:divBdr>
        <w:top w:val="none" w:sz="0" w:space="0" w:color="auto"/>
        <w:left w:val="none" w:sz="0" w:space="0" w:color="auto"/>
        <w:bottom w:val="none" w:sz="0" w:space="0" w:color="auto"/>
        <w:right w:val="none" w:sz="0" w:space="0" w:color="auto"/>
      </w:divBdr>
    </w:div>
    <w:div w:id="1056202838">
      <w:bodyDiv w:val="1"/>
      <w:marLeft w:val="0"/>
      <w:marRight w:val="0"/>
      <w:marTop w:val="0"/>
      <w:marBottom w:val="0"/>
      <w:divBdr>
        <w:top w:val="none" w:sz="0" w:space="0" w:color="auto"/>
        <w:left w:val="none" w:sz="0" w:space="0" w:color="auto"/>
        <w:bottom w:val="none" w:sz="0" w:space="0" w:color="auto"/>
        <w:right w:val="none" w:sz="0" w:space="0" w:color="auto"/>
      </w:divBdr>
    </w:div>
    <w:div w:id="1298561298">
      <w:bodyDiv w:val="1"/>
      <w:marLeft w:val="0"/>
      <w:marRight w:val="0"/>
      <w:marTop w:val="0"/>
      <w:marBottom w:val="0"/>
      <w:divBdr>
        <w:top w:val="none" w:sz="0" w:space="0" w:color="auto"/>
        <w:left w:val="none" w:sz="0" w:space="0" w:color="auto"/>
        <w:bottom w:val="none" w:sz="0" w:space="0" w:color="auto"/>
        <w:right w:val="none" w:sz="0" w:space="0" w:color="auto"/>
      </w:divBdr>
    </w:div>
    <w:div w:id="1430811883">
      <w:bodyDiv w:val="1"/>
      <w:marLeft w:val="0"/>
      <w:marRight w:val="0"/>
      <w:marTop w:val="0"/>
      <w:marBottom w:val="0"/>
      <w:divBdr>
        <w:top w:val="none" w:sz="0" w:space="0" w:color="auto"/>
        <w:left w:val="none" w:sz="0" w:space="0" w:color="auto"/>
        <w:bottom w:val="none" w:sz="0" w:space="0" w:color="auto"/>
        <w:right w:val="none" w:sz="0" w:space="0" w:color="auto"/>
      </w:divBdr>
    </w:div>
    <w:div w:id="1489516387">
      <w:bodyDiv w:val="1"/>
      <w:marLeft w:val="0"/>
      <w:marRight w:val="0"/>
      <w:marTop w:val="0"/>
      <w:marBottom w:val="0"/>
      <w:divBdr>
        <w:top w:val="none" w:sz="0" w:space="0" w:color="auto"/>
        <w:left w:val="none" w:sz="0" w:space="0" w:color="auto"/>
        <w:bottom w:val="none" w:sz="0" w:space="0" w:color="auto"/>
        <w:right w:val="none" w:sz="0" w:space="0" w:color="auto"/>
      </w:divBdr>
    </w:div>
    <w:div w:id="1492986471">
      <w:bodyDiv w:val="1"/>
      <w:marLeft w:val="0"/>
      <w:marRight w:val="0"/>
      <w:marTop w:val="0"/>
      <w:marBottom w:val="0"/>
      <w:divBdr>
        <w:top w:val="none" w:sz="0" w:space="0" w:color="auto"/>
        <w:left w:val="none" w:sz="0" w:space="0" w:color="auto"/>
        <w:bottom w:val="none" w:sz="0" w:space="0" w:color="auto"/>
        <w:right w:val="none" w:sz="0" w:space="0" w:color="auto"/>
      </w:divBdr>
    </w:div>
    <w:div w:id="1698653939">
      <w:bodyDiv w:val="1"/>
      <w:marLeft w:val="0"/>
      <w:marRight w:val="0"/>
      <w:marTop w:val="0"/>
      <w:marBottom w:val="0"/>
      <w:divBdr>
        <w:top w:val="none" w:sz="0" w:space="0" w:color="auto"/>
        <w:left w:val="none" w:sz="0" w:space="0" w:color="auto"/>
        <w:bottom w:val="none" w:sz="0" w:space="0" w:color="auto"/>
        <w:right w:val="none" w:sz="0" w:space="0" w:color="auto"/>
      </w:divBdr>
    </w:div>
    <w:div w:id="1796410017">
      <w:bodyDiv w:val="1"/>
      <w:marLeft w:val="0"/>
      <w:marRight w:val="0"/>
      <w:marTop w:val="0"/>
      <w:marBottom w:val="0"/>
      <w:divBdr>
        <w:top w:val="none" w:sz="0" w:space="0" w:color="auto"/>
        <w:left w:val="none" w:sz="0" w:space="0" w:color="auto"/>
        <w:bottom w:val="none" w:sz="0" w:space="0" w:color="auto"/>
        <w:right w:val="none" w:sz="0" w:space="0" w:color="auto"/>
      </w:divBdr>
      <w:divsChild>
        <w:div w:id="1277446082">
          <w:marLeft w:val="0"/>
          <w:marRight w:val="0"/>
          <w:marTop w:val="0"/>
          <w:marBottom w:val="0"/>
          <w:divBdr>
            <w:top w:val="none" w:sz="0" w:space="0" w:color="auto"/>
            <w:left w:val="none" w:sz="0" w:space="0" w:color="auto"/>
            <w:bottom w:val="none" w:sz="0" w:space="0" w:color="auto"/>
            <w:right w:val="none" w:sz="0" w:space="0" w:color="auto"/>
          </w:divBdr>
        </w:div>
        <w:div w:id="1416318183">
          <w:marLeft w:val="0"/>
          <w:marRight w:val="0"/>
          <w:marTop w:val="0"/>
          <w:marBottom w:val="300"/>
          <w:divBdr>
            <w:top w:val="none" w:sz="0" w:space="0" w:color="auto"/>
            <w:left w:val="none" w:sz="0" w:space="0" w:color="auto"/>
            <w:bottom w:val="none" w:sz="0" w:space="0" w:color="auto"/>
            <w:right w:val="none" w:sz="0" w:space="0" w:color="auto"/>
          </w:divBdr>
          <w:divsChild>
            <w:div w:id="21045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vanswebb@versusarthriti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fingertips.phe.org.uk" TargetMode="External"/><Relationship Id="rId13" Type="http://schemas.openxmlformats.org/officeDocument/2006/relationships/hyperlink" Target="https://www.arthro.scot.nhs.uk/Reports/Dashboard-2020.html" TargetMode="External"/><Relationship Id="rId18" Type="http://schemas.openxmlformats.org/officeDocument/2006/relationships/hyperlink" Target="https://assets.publishing.service.gov.uk/government/uploads/system/uploads/attachment_data/file/915547/access-to-work-statistics-april-2007-to-march-2020-tables.ods" TargetMode="External"/><Relationship Id="rId3" Type="http://schemas.openxmlformats.org/officeDocument/2006/relationships/hyperlink" Target="https://www.versusarthritis.org/media/14594/state-of-musculoskeletal-health-2019.pdf" TargetMode="External"/><Relationship Id="rId7" Type="http://schemas.openxmlformats.org/officeDocument/2006/relationships/hyperlink" Target="https://neu.org.uk/advice/women-and-poverty" TargetMode="External"/><Relationship Id="rId12" Type="http://schemas.openxmlformats.org/officeDocument/2006/relationships/hyperlink" Target="https://www.nice.org.uk/guidance/cg177" TargetMode="External"/><Relationship Id="rId17" Type="http://schemas.openxmlformats.org/officeDocument/2006/relationships/hyperlink" Target="https://www.carersuk.org/images/Facts_about_Carers_2019.pdf" TargetMode="External"/><Relationship Id="rId2" Type="http://schemas.openxmlformats.org/officeDocument/2006/relationships/hyperlink" Target="https://www.versusarthritis.org/about-us/" TargetMode="External"/><Relationship Id="rId16" Type="http://schemas.openxmlformats.org/officeDocument/2006/relationships/hyperlink" Target="https://www.versusarthritis.org/media/2071/working-with-arthritis-policy-report.pdf" TargetMode="External"/><Relationship Id="rId1" Type="http://schemas.openxmlformats.org/officeDocument/2006/relationships/hyperlink" Target="https://www.gov.uk/government/consultations/womens-health-strategy-call-for-evidence/womens-health-strategy-call-for-evidence" TargetMode="External"/><Relationship Id="rId6" Type="http://schemas.openxmlformats.org/officeDocument/2006/relationships/hyperlink" Target="http://arma.uk.net/wp-content/uploads/2018/11/MSK-and-Mental-Health-Nov2018.pdf" TargetMode="External"/><Relationship Id="rId11" Type="http://schemas.openxmlformats.org/officeDocument/2006/relationships/hyperlink" Target="https://www.gov.uk/government/publications/health-profile-for-england-2018" TargetMode="External"/><Relationship Id="rId5" Type="http://schemas.openxmlformats.org/officeDocument/2006/relationships/hyperlink" Target="https://www.bma.org.uk/media/2115/bma-womens-mental-health-report-aug-2018.pdf" TargetMode="External"/><Relationship Id="rId15" Type="http://schemas.openxmlformats.org/officeDocument/2006/relationships/hyperlink" Target="https://assets.publishing.service.gov.uk/government/uploads/system/uploads/attachment_data/file/875199/employment-of-disabled-people-2019.pdf" TargetMode="External"/><Relationship Id="rId10" Type="http://schemas.openxmlformats.org/officeDocument/2006/relationships/hyperlink" Target="https://www.gov.uk/government/publications/industrial-strategy-the-grand-challenges/missions" TargetMode="External"/><Relationship Id="rId4" Type="http://schemas.openxmlformats.org/officeDocument/2006/relationships/hyperlink" Target="https://assets.publishing.service.gov.uk/government/uploads/system/uploads/attachment_data/file/940858/Chronic_Pain_Report.pdf" TargetMode="External"/><Relationship Id="rId9" Type="http://schemas.openxmlformats.org/officeDocument/2006/relationships/hyperlink" Target="https://digital.nhs.uk/data-and-information/publications/statistical/statistics-on-obesity-physical-activity-and-diet/england-2020/part-3-adult-obesity-copy" TargetMode="External"/><Relationship Id="rId14" Type="http://schemas.openxmlformats.org/officeDocument/2006/relationships/hyperlink" Target="https://www.versusarthritis.org/media/22701/arthritis-research-trends-key-message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21771e-30c3-43e0-8059-e8603a7a1085">
      <UserInfo>
        <DisplayName>Judy Abel</DisplayName>
        <AccountId>17929</AccountId>
        <AccountType/>
      </UserInfo>
      <UserInfo>
        <DisplayName>Jonathan Canty</DisplayName>
        <AccountId>4726</AccountId>
        <AccountType/>
      </UserInfo>
      <UserInfo>
        <DisplayName>Tracey Loftis</DisplayName>
        <AccountId>62</AccountId>
        <AccountType/>
      </UserInfo>
      <UserInfo>
        <DisplayName>Benjamin Ellis</DisplayName>
        <AccountId>152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D482EDAA18C24181072769464C60F8" ma:contentTypeVersion="13" ma:contentTypeDescription="Create a new document." ma:contentTypeScope="" ma:versionID="61fd2b0126e6c1cf8bdd18af5115a5a2">
  <xsd:schema xmlns:xsd="http://www.w3.org/2001/XMLSchema" xmlns:xs="http://www.w3.org/2001/XMLSchema" xmlns:p="http://schemas.microsoft.com/office/2006/metadata/properties" xmlns:ns2="4321771e-30c3-43e0-8059-e8603a7a1085" xmlns:ns3="4a0be995-a73c-4046-8bee-a34374c053db" targetNamespace="http://schemas.microsoft.com/office/2006/metadata/properties" ma:root="true" ma:fieldsID="3848df6682bb942c610ee1462ca75016" ns2:_="" ns3:_="">
    <xsd:import namespace="4321771e-30c3-43e0-8059-e8603a7a1085"/>
    <xsd:import namespace="4a0be995-a73c-4046-8bee-a34374c053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771e-30c3-43e0-8059-e8603a7a1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e995-a73c-4046-8bee-a34374c053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B3FC1-1C21-4DCA-AA29-6A28752E3A05}">
  <ds:schemaRefs>
    <ds:schemaRef ds:uri="http://schemas.openxmlformats.org/package/2006/metadata/core-properties"/>
    <ds:schemaRef ds:uri="http://schemas.microsoft.com/office/2006/documentManagement/types"/>
    <ds:schemaRef ds:uri="4a0be995-a73c-4046-8bee-a34374c053db"/>
    <ds:schemaRef ds:uri="http://purl.org/dc/terms/"/>
    <ds:schemaRef ds:uri="http://purl.org/dc/dcmitype/"/>
    <ds:schemaRef ds:uri="http://www.w3.org/XML/1998/namespace"/>
    <ds:schemaRef ds:uri="http://schemas.microsoft.com/office/infopath/2007/PartnerControls"/>
    <ds:schemaRef ds:uri="4321771e-30c3-43e0-8059-e8603a7a108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7462749-9650-4495-85D0-58EF7BBEDD4D}">
  <ds:schemaRefs>
    <ds:schemaRef ds:uri="http://schemas.openxmlformats.org/officeDocument/2006/bibliography"/>
  </ds:schemaRefs>
</ds:datastoreItem>
</file>

<file path=customXml/itemProps3.xml><?xml version="1.0" encoding="utf-8"?>
<ds:datastoreItem xmlns:ds="http://schemas.openxmlformats.org/officeDocument/2006/customXml" ds:itemID="{E9D0507E-D83C-4046-AA5D-676B537D76F8}">
  <ds:schemaRefs>
    <ds:schemaRef ds:uri="http://schemas.microsoft.com/sharepoint/v3/contenttype/forms"/>
  </ds:schemaRefs>
</ds:datastoreItem>
</file>

<file path=customXml/itemProps4.xml><?xml version="1.0" encoding="utf-8"?>
<ds:datastoreItem xmlns:ds="http://schemas.openxmlformats.org/officeDocument/2006/customXml" ds:itemID="{61EF21BF-B1B7-42A3-A805-42BE1D4D4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771e-30c3-43e0-8059-e8603a7a1085"/>
    <ds:schemaRef ds:uri="4a0be995-a73c-4046-8bee-a34374c05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CharactersWithSpaces>
  <SharedDoc>false</SharedDoc>
  <HLinks>
    <vt:vector size="144" baseType="variant">
      <vt:variant>
        <vt:i4>6488066</vt:i4>
      </vt:variant>
      <vt:variant>
        <vt:i4>15</vt:i4>
      </vt:variant>
      <vt:variant>
        <vt:i4>0</vt:i4>
      </vt:variant>
      <vt:variant>
        <vt:i4>5</vt:i4>
      </vt:variant>
      <vt:variant>
        <vt:lpwstr>mailto:B.Ellis@versusarthritis.org</vt:lpwstr>
      </vt:variant>
      <vt:variant>
        <vt:lpwstr/>
      </vt:variant>
      <vt:variant>
        <vt:i4>6684682</vt:i4>
      </vt:variant>
      <vt:variant>
        <vt:i4>12</vt:i4>
      </vt:variant>
      <vt:variant>
        <vt:i4>0</vt:i4>
      </vt:variant>
      <vt:variant>
        <vt:i4>5</vt:i4>
      </vt:variant>
      <vt:variant>
        <vt:lpwstr>mailto:m.evanswebb@versusarthritis.org</vt:lpwstr>
      </vt:variant>
      <vt:variant>
        <vt:lpwstr/>
      </vt:variant>
      <vt:variant>
        <vt:i4>111</vt:i4>
      </vt:variant>
      <vt:variant>
        <vt:i4>9</vt:i4>
      </vt:variant>
      <vt:variant>
        <vt:i4>0</vt:i4>
      </vt:variant>
      <vt:variant>
        <vt:i4>5</vt:i4>
      </vt:variant>
      <vt:variant>
        <vt:lpwstr>mailto:S.Steinberger@versusarthritis.org</vt:lpwstr>
      </vt:variant>
      <vt:variant>
        <vt:lpwstr/>
      </vt:variant>
      <vt:variant>
        <vt:i4>6684682</vt:i4>
      </vt:variant>
      <vt:variant>
        <vt:i4>6</vt:i4>
      </vt:variant>
      <vt:variant>
        <vt:i4>0</vt:i4>
      </vt:variant>
      <vt:variant>
        <vt:i4>5</vt:i4>
      </vt:variant>
      <vt:variant>
        <vt:lpwstr>mailto:m.evanswebb@versusarthritis.org</vt:lpwstr>
      </vt:variant>
      <vt:variant>
        <vt:lpwstr/>
      </vt:variant>
      <vt:variant>
        <vt:i4>6684682</vt:i4>
      </vt:variant>
      <vt:variant>
        <vt:i4>3</vt:i4>
      </vt:variant>
      <vt:variant>
        <vt:i4>0</vt:i4>
      </vt:variant>
      <vt:variant>
        <vt:i4>5</vt:i4>
      </vt:variant>
      <vt:variant>
        <vt:lpwstr>mailto:m.evanswebb@versusarthritis.org</vt:lpwstr>
      </vt:variant>
      <vt:variant>
        <vt:lpwstr/>
      </vt:variant>
      <vt:variant>
        <vt:i4>111</vt:i4>
      </vt:variant>
      <vt:variant>
        <vt:i4>0</vt:i4>
      </vt:variant>
      <vt:variant>
        <vt:i4>0</vt:i4>
      </vt:variant>
      <vt:variant>
        <vt:i4>5</vt:i4>
      </vt:variant>
      <vt:variant>
        <vt:lpwstr>mailto:S.Steinberger@versusarthritis.org</vt:lpwstr>
      </vt:variant>
      <vt:variant>
        <vt:lpwstr/>
      </vt:variant>
      <vt:variant>
        <vt:i4>6946839</vt:i4>
      </vt:variant>
      <vt:variant>
        <vt:i4>51</vt:i4>
      </vt:variant>
      <vt:variant>
        <vt:i4>0</vt:i4>
      </vt:variant>
      <vt:variant>
        <vt:i4>5</vt:i4>
      </vt:variant>
      <vt:variant>
        <vt:lpwstr>https://assets.publishing.service.gov.uk/government/uploads/system/uploads/attachment_data/file/915547/access-to-work-statistics-april-2007-to-march-2020-tables.ods</vt:lpwstr>
      </vt:variant>
      <vt:variant>
        <vt:lpwstr/>
      </vt:variant>
      <vt:variant>
        <vt:i4>2228245</vt:i4>
      </vt:variant>
      <vt:variant>
        <vt:i4>48</vt:i4>
      </vt:variant>
      <vt:variant>
        <vt:i4>0</vt:i4>
      </vt:variant>
      <vt:variant>
        <vt:i4>5</vt:i4>
      </vt:variant>
      <vt:variant>
        <vt:lpwstr>https://www.carersuk.org/images/Facts_about_Carers_2019.pdf</vt:lpwstr>
      </vt:variant>
      <vt:variant>
        <vt:lpwstr/>
      </vt:variant>
      <vt:variant>
        <vt:i4>3211361</vt:i4>
      </vt:variant>
      <vt:variant>
        <vt:i4>45</vt:i4>
      </vt:variant>
      <vt:variant>
        <vt:i4>0</vt:i4>
      </vt:variant>
      <vt:variant>
        <vt:i4>5</vt:i4>
      </vt:variant>
      <vt:variant>
        <vt:lpwstr>https://www.versusarthritis.org/media/2071/working-with-arthritis-policy-report.pdf</vt:lpwstr>
      </vt:variant>
      <vt:variant>
        <vt:lpwstr/>
      </vt:variant>
      <vt:variant>
        <vt:i4>2424834</vt:i4>
      </vt:variant>
      <vt:variant>
        <vt:i4>42</vt:i4>
      </vt:variant>
      <vt:variant>
        <vt:i4>0</vt:i4>
      </vt:variant>
      <vt:variant>
        <vt:i4>5</vt:i4>
      </vt:variant>
      <vt:variant>
        <vt:lpwstr>https://assets.publishing.service.gov.uk/government/uploads/system/uploads/attachment_data/file/875199/employment-of-disabled-people-2019.pdf</vt:lpwstr>
      </vt:variant>
      <vt:variant>
        <vt:lpwstr/>
      </vt:variant>
      <vt:variant>
        <vt:i4>4128881</vt:i4>
      </vt:variant>
      <vt:variant>
        <vt:i4>39</vt:i4>
      </vt:variant>
      <vt:variant>
        <vt:i4>0</vt:i4>
      </vt:variant>
      <vt:variant>
        <vt:i4>5</vt:i4>
      </vt:variant>
      <vt:variant>
        <vt:lpwstr>https://www.versusarthritis.org/media/22701/arthritis-research-trends-key-messages-2020.pdf</vt:lpwstr>
      </vt:variant>
      <vt:variant>
        <vt:lpwstr/>
      </vt:variant>
      <vt:variant>
        <vt:i4>2752514</vt:i4>
      </vt:variant>
      <vt:variant>
        <vt:i4>36</vt:i4>
      </vt:variant>
      <vt:variant>
        <vt:i4>0</vt:i4>
      </vt:variant>
      <vt:variant>
        <vt:i4>5</vt:i4>
      </vt:variant>
      <vt:variant>
        <vt:lpwstr>https://assets.publishing.service.gov.uk/government/uploads/system/uploads/attachment_data/file/940858/Chronic_Pain_Report.pdf</vt:lpwstr>
      </vt:variant>
      <vt:variant>
        <vt:lpwstr/>
      </vt:variant>
      <vt:variant>
        <vt:i4>6750260</vt:i4>
      </vt:variant>
      <vt:variant>
        <vt:i4>33</vt:i4>
      </vt:variant>
      <vt:variant>
        <vt:i4>0</vt:i4>
      </vt:variant>
      <vt:variant>
        <vt:i4>5</vt:i4>
      </vt:variant>
      <vt:variant>
        <vt:lpwstr>https://www.arthro.scot.nhs.uk/Reports/Dashboard-2020.html</vt:lpwstr>
      </vt:variant>
      <vt:variant>
        <vt:lpwstr/>
      </vt:variant>
      <vt:variant>
        <vt:i4>6881319</vt:i4>
      </vt:variant>
      <vt:variant>
        <vt:i4>30</vt:i4>
      </vt:variant>
      <vt:variant>
        <vt:i4>0</vt:i4>
      </vt:variant>
      <vt:variant>
        <vt:i4>5</vt:i4>
      </vt:variant>
      <vt:variant>
        <vt:lpwstr>https://www.nice.org.uk/guidance/cg177</vt:lpwstr>
      </vt:variant>
      <vt:variant>
        <vt:lpwstr/>
      </vt:variant>
      <vt:variant>
        <vt:i4>3211310</vt:i4>
      </vt:variant>
      <vt:variant>
        <vt:i4>27</vt:i4>
      </vt:variant>
      <vt:variant>
        <vt:i4>0</vt:i4>
      </vt:variant>
      <vt:variant>
        <vt:i4>5</vt:i4>
      </vt:variant>
      <vt:variant>
        <vt:lpwstr>https://www.gov.uk/government/publications/health-profile-for-england-2018</vt:lpwstr>
      </vt:variant>
      <vt:variant>
        <vt:lpwstr/>
      </vt:variant>
      <vt:variant>
        <vt:i4>2883636</vt:i4>
      </vt:variant>
      <vt:variant>
        <vt:i4>24</vt:i4>
      </vt:variant>
      <vt:variant>
        <vt:i4>0</vt:i4>
      </vt:variant>
      <vt:variant>
        <vt:i4>5</vt:i4>
      </vt:variant>
      <vt:variant>
        <vt:lpwstr>https://www.gov.uk/government/publications/industrial-strategy-the-grand-challenges/missions</vt:lpwstr>
      </vt:variant>
      <vt:variant>
        <vt:lpwstr>ageing-society</vt:lpwstr>
      </vt:variant>
      <vt:variant>
        <vt:i4>5701648</vt:i4>
      </vt:variant>
      <vt:variant>
        <vt:i4>21</vt:i4>
      </vt:variant>
      <vt:variant>
        <vt:i4>0</vt:i4>
      </vt:variant>
      <vt:variant>
        <vt:i4>5</vt:i4>
      </vt:variant>
      <vt:variant>
        <vt:lpwstr>https://digital.nhs.uk/data-and-information/publications/statistical/statistics-on-obesity-physical-activity-and-diet/england-2020/part-3-adult-obesity-copy</vt:lpwstr>
      </vt:variant>
      <vt:variant>
        <vt:lpwstr/>
      </vt:variant>
      <vt:variant>
        <vt:i4>3145846</vt:i4>
      </vt:variant>
      <vt:variant>
        <vt:i4>18</vt:i4>
      </vt:variant>
      <vt:variant>
        <vt:i4>0</vt:i4>
      </vt:variant>
      <vt:variant>
        <vt:i4>5</vt:i4>
      </vt:variant>
      <vt:variant>
        <vt:lpwstr>https://fingertips.phe.org.uk/</vt:lpwstr>
      </vt:variant>
      <vt:variant>
        <vt:lpwstr/>
      </vt:variant>
      <vt:variant>
        <vt:i4>2883684</vt:i4>
      </vt:variant>
      <vt:variant>
        <vt:i4>15</vt:i4>
      </vt:variant>
      <vt:variant>
        <vt:i4>0</vt:i4>
      </vt:variant>
      <vt:variant>
        <vt:i4>5</vt:i4>
      </vt:variant>
      <vt:variant>
        <vt:lpwstr>https://neu.org.uk/advice/women-and-poverty</vt:lpwstr>
      </vt:variant>
      <vt:variant>
        <vt:lpwstr/>
      </vt:variant>
      <vt:variant>
        <vt:i4>2883644</vt:i4>
      </vt:variant>
      <vt:variant>
        <vt:i4>12</vt:i4>
      </vt:variant>
      <vt:variant>
        <vt:i4>0</vt:i4>
      </vt:variant>
      <vt:variant>
        <vt:i4>5</vt:i4>
      </vt:variant>
      <vt:variant>
        <vt:lpwstr>http://arma.uk.net/wp-content/uploads/2018/11/MSK-and-Mental-Health-Nov2018.pdf</vt:lpwstr>
      </vt:variant>
      <vt:variant>
        <vt:lpwstr/>
      </vt:variant>
      <vt:variant>
        <vt:i4>7602288</vt:i4>
      </vt:variant>
      <vt:variant>
        <vt:i4>9</vt:i4>
      </vt:variant>
      <vt:variant>
        <vt:i4>0</vt:i4>
      </vt:variant>
      <vt:variant>
        <vt:i4>5</vt:i4>
      </vt:variant>
      <vt:variant>
        <vt:lpwstr>https://www.bma.org.uk/media/2115/bma-womens-mental-health-report-aug-2018.pdf</vt:lpwstr>
      </vt:variant>
      <vt:variant>
        <vt:lpwstr/>
      </vt:variant>
      <vt:variant>
        <vt:i4>5898329</vt:i4>
      </vt:variant>
      <vt:variant>
        <vt:i4>6</vt:i4>
      </vt:variant>
      <vt:variant>
        <vt:i4>0</vt:i4>
      </vt:variant>
      <vt:variant>
        <vt:i4>5</vt:i4>
      </vt:variant>
      <vt:variant>
        <vt:lpwstr>https://www.versusarthritis.org/media/14594/state-of-musculoskeletal-health-2019.pdf</vt:lpwstr>
      </vt:variant>
      <vt:variant>
        <vt:lpwstr/>
      </vt:variant>
      <vt:variant>
        <vt:i4>852054</vt:i4>
      </vt:variant>
      <vt:variant>
        <vt:i4>3</vt:i4>
      </vt:variant>
      <vt:variant>
        <vt:i4>0</vt:i4>
      </vt:variant>
      <vt:variant>
        <vt:i4>5</vt:i4>
      </vt:variant>
      <vt:variant>
        <vt:lpwstr>https://www.versusarthritis.org/about-us/</vt:lpwstr>
      </vt:variant>
      <vt:variant>
        <vt:lpwstr/>
      </vt:variant>
      <vt:variant>
        <vt:i4>8257568</vt:i4>
      </vt:variant>
      <vt:variant>
        <vt:i4>0</vt:i4>
      </vt:variant>
      <vt:variant>
        <vt:i4>0</vt:i4>
      </vt:variant>
      <vt:variant>
        <vt:i4>5</vt:i4>
      </vt:variant>
      <vt:variant>
        <vt:lpwstr>https://www.gov.uk/government/consultations/womens-health-strategy-call-for-evidence/womens-health-strategy-call-for-evidence</vt:lpwstr>
      </vt:variant>
      <vt:variant>
        <vt:lpwstr>how-to-respond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Evans Webb</dc:creator>
  <cp:keywords/>
  <dc:description/>
  <cp:lastModifiedBy>Emma Tagg</cp:lastModifiedBy>
  <cp:revision>2</cp:revision>
  <cp:lastPrinted>2021-06-15T12:26:00Z</cp:lastPrinted>
  <dcterms:created xsi:type="dcterms:W3CDTF">2021-11-09T10:30:00Z</dcterms:created>
  <dcterms:modified xsi:type="dcterms:W3CDTF">2021-11-09T10:30:00Z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0x01010007D482EDAA18C24181072769464C60F8</vt:lpwstr>
  </property>
</Properties>
</file>